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ptos" w:cs="Aptos" w:eastAsia="Aptos" w:hAnsi="Aptos"/>
          <w:b/>
          <w:bCs/>
          <w:color w:val="1B3A5C"/>
          <w:sz w:val="40"/>
          <w:szCs w:val="40"/>
        </w:rPr>
        <w:t>Vendor Security Assessment Questionnaire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Authority: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Adopted by [Agency Name] under the authority of [signing official / title].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Version: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[#]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Effective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[Date]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Next Review: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[Date]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Owner: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[Director / Coordinator]</w:t>
            </w: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 xml:space="preserve">   « use a role, not a person's name »</w:t>
            </w:r>
          </w:p>
          <w:p>
            <w:pPr>
              <w:spacing w:after="2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Classification: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Internal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« Minimum for the blank instrument. A returned copy that names a vendor representative and discloses control gaps should be raised to Confidential. »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Vendor identification</w:t>
            </w:r>
          </w:p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Vendor: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[vendor name]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Product / service: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[product or service in scope]</w:t>
            </w:r>
          </w:p>
          <w:p>
            <w:pPr>
              <w:spacing w:after="0"/>
            </w:pPr>
            <w:r>
              <w:rPr>
                <w:rFonts w:ascii="Aptos" w:hAnsi="Aptos" w:cs="Aptos"/>
                <w:b/>
                <w:i w:val="0"/>
                <w:sz w:val="24"/>
              </w:rPr>
              <w:t xml:space="preserve">Completed by (vendor):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[name / title]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Reviewed by (agency):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[role]</w:t>
            </w:r>
            <w:r>
              <w:rPr>
                <w:rFonts w:ascii="Aptos" w:hAnsi="Aptos" w:cs="Aptos"/>
                <w:b/>
                <w:i w:val="0"/>
                <w:sz w:val="24"/>
              </w:rPr>
              <w:t xml:space="preserve">      Date: </w:t>
            </w:r>
            <w:r>
              <w:rPr>
                <w:rFonts w:ascii="Aptos" w:hAnsi="Aptos" w:cs="Aptos"/>
                <w:b w:val="0"/>
                <w:i w:val="0"/>
                <w:sz w:val="24"/>
              </w:rPr>
              <w:t>[date]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How to use this template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(delete this box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This template is ready to adopt. Replace every [BRACKETED] field with your agency's information, follow the « » guidance notes, and delete every « » note and this box before you publish.</w:t>
            </w:r>
          </w:p>
          <w:p>
            <w:pPr>
              <w:spacing w:after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Placeholder key: [BRACKETED] = fill in   ·   [REQUIRED] (bold) = required field   ·   « » = guidance to delete.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Keep the body director-readable. Push technical detail and contact lists to an appendix. Source Authority, approval signatures, and revision history stay at the foot of the document.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1. Vendor Security Questions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One security control per row. The vendor answers Yes, No, N-A, or Partial and gives evidence for every row. »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660"/>
        <w:gridCol w:w="1500"/>
        <w:gridCol w:w="2500"/>
      </w:tblGrid>
      <w:tr>
        <w:trPr>
          <w:tblHeader/>
        </w:trP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#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Security control the vendor must confirm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Yes / No / N-A / Partial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>Evidence (required)</w:t>
            </w:r>
          </w:p>
        </w:tc>
      </w:tr>
      <w:tr>
        <w:tc>
          <w:tcPr>
            <w:tcW w:type="dxa" w:w="9360"/>
            <w:gridSpan w:val="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1A. Data protection, access &amp; encryption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at rest to a current standard (e.g., AES-256).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2</w:t>
            </w:r>
          </w:p>
        </w:tc>
        <w:tc>
          <w:tcPr>
            <w:tcW w:type="dxa" w:w="4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Encrypts Agency data in transit (TLS or equivalent).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Segregates or logically separates Agency data from other customers.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4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Enforces least-privilege access to Agency data and systems.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5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Requires multi-factor authentication for administrative and remote access.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6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Deprovisions vendor and staff access promptly when roles change.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1B. Incident response, breach notification &amp; subcontractors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7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Notifies the Agency of a security incident affecting Agency data within [a defined time].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8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Maintains a documented incident response capability and tests it.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9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subcontractors with access to Agency data and flows these obligations to them.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9360"/>
            <w:gridSpan w:val="4"/>
            <w:shd w:val="clear" w:color="auto" w:fill="EEF2F7"/>
          </w:tcPr>
          <w:p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1C. Compliance, assurance &amp; security posture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10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Provides a current independent assurance report (e.g., SOC 2 Type II) on request.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11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Meets CJIS Security Policy handling where the vendor touches CJIS-regulated data (via IDACS).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12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Runs regular vulnerability scanning and patching on systems holding Agency data.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  <w:tr>
        <w:tc>
          <w:tcPr>
            <w:tcW w:type="dxa" w:w="7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13</w:t>
            </w:r>
          </w:p>
        </w:tc>
        <w:tc>
          <w:tcPr>
            <w:tcW w:type="dxa" w:w="466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Discloses any material security breach affecting similar clients in the past [lookback period].</w:t>
            </w:r>
          </w:p>
        </w:tc>
        <w:tc>
          <w:tcPr>
            <w:tcW w:type="dxa" w:w="1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 ]</w:t>
            </w:r>
          </w:p>
        </w:tc>
        <w:tc>
          <w:tcPr>
            <w:tcW w:type="dxa" w:w="2500"/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[evidence]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>2. Risk Disposition &amp; Routing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>« How a gap is scored and where it goes. Point to the third-party risk records; do not restate them. »</w:t>
      </w:r>
    </w:p>
    <w:p>
      <w:pPr>
        <w:spacing w:after="120" w:before="0"/>
      </w:pPr>
      <w:r>
        <w:rPr>
          <w:rFonts w:ascii="Aptos" w:cs="Aptos" w:eastAsia="Aptos" w:hAnsi="Aptos"/>
          <w:b w:val="false"/>
          <w:bCs w:val="false"/>
          <w:i w:val="false"/>
          <w:iCs w:val="false"/>
          <w:sz w:val="24"/>
          <w:szCs w:val="24"/>
        </w:rPr>
        <w:t>Score the completed questionnaire and record the result in the Third-Party Risk Assessment Records. A 'No' or 'Partial' on a material control is a gap: the [Owner role] assigns a risk rating and decides whether to accept, mitigate, or reject, then carries any required controls into the vendor's contract through the Security Requirements in Vendor Contracts / SLAs. A vendor that touches CJIS-regulated data must also meet the CJIS Data Handling Addendum.</w:t>
      </w:r>
    </w:p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Profile Scaling Notes</w:t>
      </w:r>
    </w:p>
    <w:p>
      <w:pPr>
        <w:spacing w:after="140"/>
      </w:pPr>
      <w:r>
        <w:rPr>
          <w:rFonts w:ascii="Aptos" w:cs="Aptos" w:eastAsia="Aptos" w:hAnsi="Aptos"/>
          <w:i/>
          <w:iCs/>
          <w:color w:val="595959"/>
          <w:sz w:val="24"/>
          <w:szCs w:val="24"/>
        </w:rPr>
        <w:t xml:space="preserve">One short paragraph per profile: what minimum-viable looks like for that reader and where to scale up. Keep all three if this ships as a template; delete the profiles that do not apply once adopted.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160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PSAP Profile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Minimum-viable implementation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Small (1–5 dispatchers, no in-house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Use this questionnaire for any vendor with access to Agency systems or data. One person, usually the director, sends it, reviews the answers, and files the result. A completed questionnaire plus a current SOC 2 report is often enough for a small vendor.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Medium (6–25, shared county IT)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A security coordinator issues the questionnaire for every new vendor and on a set cadence, scores the answers, and tracks gaps in the Third-Party Risk Assessment Records.</w:t>
            </w:r>
          </w:p>
        </w:tc>
      </w:tr>
      <w:t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Large (25+, dedicated IT/security)</w:t>
            </w:r>
          </w:p>
        </w:tc>
        <w:tc>
          <w:tcPr>
            <w:tcW w:type="dxa" w:w="61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hAnsi="Aptos" w:cs="Aptos"/>
                <w:b w:val="0"/>
                <w:i w:val="0"/>
                <w:sz w:val="24"/>
              </w:rPr>
              <w:t>Vendor questionnaires are part of procurement. Answers are scored against a risk threshold, higher-risk vendors get a deeper review, and required controls are written into the contract before award.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2F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>Source Authority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/>
                <w:color w:val="595959"/>
                <w:sz w:val="24"/>
              </w:rPr>
              <w:t>List only the authorities that map to content in this artifact. Group by authority; order sections and control IDs numerically; add no padding.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NENA-STA-040.2-2024: §5.2, §5.6, §10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NIST SP 800-53 Rev. 5: CA-3, SA-9, SR-3, SR-6</w:t>
            </w:r>
          </w:p>
          <w:p>
            <w:pPr>
              <w:spacing w:after="40" w:before="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CJIS Security Policy v5.9: §5.1 (where the vendor accesses CJIS-regulated data, via IDACS)</w:t>
            </w:r>
          </w:p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Sign-off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2360"/>
        <w:gridCol w:w="2600"/>
        <w:gridCol w:w="140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Role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Name</w:t>
            </w:r>
          </w:p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Signature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[Completed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[Reviewed by (role)]</w:t>
            </w:r>
          </w:p>
        </w:tc>
        <w:tc>
          <w:tcPr>
            <w:tcW w:type="dxa" w:w="2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/>
        </w:tc>
      </w:tr>
    </w:tbl>
    <w:p>
      <w:pPr>
        <w:pStyle w:val="Heading2"/>
        <w:spacing w:after="100" w:before="220"/>
      </w:pPr>
      <w:r>
        <w:rPr>
          <w:rFonts w:ascii="Aptos" w:cs="Aptos" w:eastAsia="Aptos" w:hAnsi="Aptos"/>
          <w:b/>
          <w:bCs/>
          <w:color w:val="1B3A5C"/>
          <w:sz w:val="26"/>
          <w:szCs w:val="26"/>
        </w:rPr>
        <w:t xml:space="preserve">Revision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600"/>
        <w:gridCol w:w="2200"/>
        <w:gridCol w:w="4260"/>
      </w:tblGrid>
      <w:tr>
        <w:trPr>
          <w:tblHeader/>
        </w:trP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Version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Date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Author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/>
                <w:bCs/>
                <w:color w:val="FFFFFF"/>
                <w:sz w:val="24"/>
                <w:szCs w:val="24"/>
              </w:rPr>
              <w:t xml:space="preserve">Summary of Change</w:t>
            </w:r>
          </w:p>
        </w:tc>
      </w:tr>
      <w:tr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[#]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[Date]</w:t>
            </w:r>
          </w:p>
        </w:tc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[Role]</w:t>
            </w:r>
          </w:p>
        </w:tc>
        <w:tc>
          <w:tcPr>
            <w:tcW w:type="dxa" w:w="42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ptos" w:cs="Aptos" w:eastAsia="Aptos" w:hAnsi="Aptos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[Initial issue]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4F1E8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60"/>
            </w:pPr>
            <w:r>
              <w:rPr>
                <w:rFonts w:ascii="Aptos" w:hAnsi="Aptos" w:cs="Aptos"/>
                <w:b/>
                <w:i w:val="0"/>
                <w:color w:val="1B3A5C"/>
                <w:sz w:val="24"/>
              </w:rPr>
              <w:t xml:space="preserve">Drafter's note </w:t>
            </w:r>
            <w:r>
              <w:rPr>
                <w:rFonts w:ascii="Aptos" w:hAnsi="Aptos" w:cs="Aptos"/>
                <w:b w:val="0"/>
                <w:i w:val="0"/>
                <w:color w:val="595959"/>
                <w:sz w:val="24"/>
              </w:rPr>
              <w:t>(internal, delete before publishing)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Kept as a Checklist, adapted to a vendor questionnaire: Yes / No / N-A / Partial with required evidence, banded by domain. The blank form is Internal; a returned copy that names a vendor representative and discloses the vendor's control gaps should be raised to Confidential. NENA §10 is Appendix B, Suggested Procurement Security Questions.</w:t>
            </w:r>
          </w:p>
          <w:p>
            <w:pPr>
              <w:spacing w:after="140"/>
            </w:pPr>
            <w:r>
              <w:rPr>
                <w:rFonts w:ascii="Aptos" w:hAnsi="Aptos" w:cs="Aptos"/>
                <w:b w:val="0"/>
                <w:i w:val="0"/>
                <w:sz w:val="24"/>
              </w:rPr>
              <w:t>Agency-supplied values in brackets: [Agency Name], owner and reviewer roles, the incident-notification timeframe, and the breach lookback period. Completed questionnaires feed the Third-Party Risk Assessment Records.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ptos" w:cs="Aptos" w:eastAsia="Aptos" w:hAnsi="Aptos"/>
        <w:color w:val="595959"/>
        <w:sz w:val="18"/>
        <w:szCs w:val="18"/>
      </w:rPr>
      <w:t xml:space="preserve">Page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ptos" w:cs="Aptos" w:eastAsia="Aptos" w:hAnsi="Aptos"/>
        <w:color w:val="595959"/>
        <w:sz w:val="18"/>
        <w:szCs w:val="18"/>
      </w:rPr>
      <w:t xml:space="preserve"> of </w:t>
    </w:r>
    <w:r>
      <w:rPr>
        <w:rFonts w:ascii="Aptos" w:cs="Aptos" w:eastAsia="Aptos" w:hAnsi="Aptos"/>
        <w:color w:val="595959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B3A5C" w:sz="6" w:space="2"/>
      </w:pBdr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20"/>
      </w:pPr>
    </w:lvl>
  </w:abstractNum>
  <w:abstractNum w:abstractNumId="9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0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1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abstractNum w:abstractNumId="1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ptos" w:cs="Aptos" w:eastAsia="Aptos" w:hAnsi="Aptos"/>
      <w:b/>
      <w:bCs/>
      <w:color w:val="1B3A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20"/>
      <w:outlineLvl w:val="1"/>
    </w:pPr>
    <w:rPr>
      <w:rFonts w:ascii="Aptos" w:cs="Aptos" w:eastAsia="Aptos" w:hAnsi="Aptos"/>
      <w:b/>
      <w:bCs/>
      <w:color w:val="1B3A5C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2026-06-01T15:29:11.487Z</dcterms:created>
  <dcterms:modified xsi:type="dcterms:W3CDTF">2026-06-01T15:29:11.487Z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