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ptos" w:cs="Aptos" w:eastAsia="Aptos" w:hAnsi="Aptos"/>
          <w:b/>
          <w:bCs/>
          <w:color w:val="1B3A5C"/>
          <w:sz w:val="40"/>
          <w:szCs w:val="40"/>
        </w:rPr>
        <w:t>Vulnerability Assessment Reports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hAnsi="Aptos" w:cs="Aptos"/>
                <w:b/>
                <w:i w:val="0"/>
                <w:color w:val="1B3A5C"/>
                <w:sz w:val="24"/>
              </w:rPr>
              <w:t>Cover</w:t>
            </w:r>
          </w:p>
          <w:p>
            <w:pPr>
              <w:spacing w:after="60"/>
            </w:pPr>
            <w:r>
              <w:rPr>
                <w:rFonts w:ascii="Aptos" w:hAnsi="Aptos" w:cs="Aptos"/>
                <w:b/>
                <w:i w:val="0"/>
                <w:sz w:val="24"/>
              </w:rPr>
              <w:t xml:space="preserve">Assessment date: </w:t>
            </w:r>
            <w:r>
              <w:rPr>
                <w:rFonts w:ascii="Aptos" w:hAnsi="Aptos" w:cs="Aptos"/>
                <w:b w:val="0"/>
                <w:i w:val="0"/>
                <w:sz w:val="24"/>
              </w:rPr>
              <w:t>[date]</w:t>
            </w:r>
            <w:r>
              <w:rPr>
                <w:rFonts w:ascii="Aptos" w:hAnsi="Aptos" w:cs="Aptos"/>
                <w:b/>
                <w:i w:val="0"/>
                <w:sz w:val="24"/>
              </w:rPr>
              <w:t xml:space="preserve">      Assessor: </w:t>
            </w:r>
            <w:r>
              <w:rPr>
                <w:rFonts w:ascii="Aptos" w:hAnsi="Aptos" w:cs="Aptos"/>
                <w:b w:val="0"/>
                <w:i w:val="0"/>
                <w:sz w:val="24"/>
              </w:rPr>
              <w:t>[role; internal or independent third party]</w:t>
            </w:r>
          </w:p>
          <w:p>
            <w:pPr>
              <w:spacing w:after="60"/>
            </w:pPr>
            <w:r>
              <w:rPr>
                <w:rFonts w:ascii="Aptos" w:hAnsi="Aptos" w:cs="Aptos"/>
                <w:b/>
                <w:i w:val="0"/>
                <w:sz w:val="24"/>
              </w:rPr>
              <w:t xml:space="preserve">Scope: </w:t>
            </w:r>
            <w:r>
              <w:rPr>
                <w:rFonts w:ascii="Aptos" w:hAnsi="Aptos" w:cs="Aptos"/>
                <w:b w:val="0"/>
                <w:i w:val="0"/>
                <w:sz w:val="24"/>
              </w:rPr>
              <w:t>[systems, network, and applications assessed; period]</w:t>
            </w:r>
          </w:p>
          <w:p>
            <w:pPr>
              <w:spacing w:after="60"/>
            </w:pPr>
            <w:r>
              <w:rPr>
                <w:rFonts w:ascii="Aptos" w:hAnsi="Aptos" w:cs="Aptos"/>
                <w:b/>
                <w:i w:val="0"/>
                <w:sz w:val="24"/>
              </w:rPr>
              <w:t xml:space="preserve">Tool / methodology: </w:t>
            </w:r>
            <w:r>
              <w:rPr>
                <w:rFonts w:ascii="Aptos" w:hAnsi="Aptos" w:cs="Aptos"/>
                <w:b w:val="0"/>
                <w:i w:val="0"/>
                <w:sz w:val="24"/>
              </w:rPr>
              <w:t>[scanner, authenticated scan, or penetration test; rules of engagement]</w:t>
            </w:r>
          </w:p>
          <w:p>
            <w:pPr>
              <w:spacing w:after="20"/>
            </w:pPr>
            <w:r>
              <w:rPr>
                <w:rFonts w:ascii="Aptos" w:hAnsi="Aptos" w:cs="Aptos"/>
                <w:b/>
                <w:i w:val="0"/>
                <w:sz w:val="24"/>
              </w:rPr>
              <w:t xml:space="preserve">Owner: </w:t>
            </w:r>
            <w:r>
              <w:rPr>
                <w:rFonts w:ascii="Aptos" w:hAnsi="Aptos" w:cs="Aptos"/>
                <w:b w:val="0"/>
                <w:i w:val="0"/>
                <w:sz w:val="24"/>
              </w:rPr>
              <w:t>[role]</w:t>
            </w:r>
          </w:p>
          <w:p>
            <w:pPr>
              <w:spacing w:after="0"/>
            </w:pPr>
            <w:r>
              <w:rPr>
                <w:rFonts w:ascii="Aptos" w:hAnsi="Aptos" w:cs="Aptos"/>
                <w:b/>
                <w:i w:val="0"/>
                <w:sz w:val="24"/>
              </w:rPr>
              <w:t xml:space="preserve">Classification: </w:t>
            </w:r>
            <w:r>
              <w:rPr>
                <w:rFonts w:ascii="Aptos" w:hAnsi="Aptos" w:cs="Aptos"/>
                <w:b w:val="0"/>
                <w:i w:val="0"/>
                <w:sz w:val="24"/>
              </w:rPr>
              <w:t>Restricted</w:t>
            </w:r>
          </w:p>
          <w:p>
            <w:pPr>
              <w:spacing w:after="0"/>
            </w:pPr>
            <w:r>
              <w:rPr>
                <w:rFonts w:ascii="Aptos" w:hAnsi="Aptos" w:cs="Aptos"/>
                <w:b w:val="0"/>
                <w:i/>
                <w:color w:val="595959"/>
                <w:sz w:val="24"/>
              </w:rPr>
              <w:t>« Minimum for this artifact: assessment findings aid an attacker. Your agency may raise but not lower it. »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hAnsi="Aptos" w:cs="Aptos"/>
                <w:b/>
                <w:i w:val="0"/>
                <w:color w:val="1B3A5C"/>
                <w:sz w:val="24"/>
              </w:rPr>
              <w:t xml:space="preserve">How to use this template </w:t>
            </w:r>
            <w:r>
              <w:rPr>
                <w:rFonts w:ascii="Aptos" w:hAnsi="Aptos" w:cs="Aptos"/>
                <w:b w:val="0"/>
                <w:i w:val="0"/>
                <w:color w:val="595959"/>
                <w:sz w:val="24"/>
              </w:rPr>
              <w:t>(delete this box before publishing)</w:t>
            </w:r>
          </w:p>
          <w:p>
            <w:pPr>
              <w:spacing w:after="140"/>
            </w:pPr>
            <w:r>
              <w:rPr>
                <w:rFonts w:ascii="Aptos" w:hAnsi="Aptos" w:cs="Aptos"/>
                <w:b w:val="0"/>
                <w:i w:val="0"/>
                <w:sz w:val="24"/>
              </w:rPr>
              <w:t>This template is ready to adopt. Replace every [BRACKETED] field with your agency's information, follow the « » guidance notes, and delete every « » note and this box before you publish.</w:t>
            </w:r>
          </w:p>
          <w:p>
            <w:pPr>
              <w:spacing w:after="0"/>
            </w:pPr>
            <w:r>
              <w:rPr>
                <w:rFonts w:ascii="Aptos" w:hAnsi="Aptos" w:cs="Aptos"/>
                <w:b w:val="0"/>
                <w:i w:val="0"/>
                <w:sz w:val="24"/>
              </w:rPr>
              <w:t>Placeholder key: [BRACKETED] = fill in   ·   [REQUIRED] (bold) = required field   ·   « » = guidance to delete.</w:t>
            </w:r>
          </w:p>
          <w:p>
            <w:pPr>
              <w:spacing w:after="140"/>
            </w:pPr>
            <w:r>
              <w:rPr>
                <w:rFonts w:ascii="Aptos" w:hAnsi="Aptos" w:cs="Aptos"/>
                <w:b w:val="0"/>
                <w:i w:val="0"/>
                <w:sz w:val="24"/>
              </w:rPr>
              <w:t>Keep the body director-readable. Push technical detail and contact lists to an appendix. Source Authority, approval signatures, and revision history stay at the foot of the document.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1. Executive Summary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«Three or four sentences a director can act on: what was assessed, the headline result, the most important finding. Write this last.»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This report records what was assessed, the tools and methods used, and the findings by severity. Findings feed the Risk / Finding Register (POA&amp;M), where they are tracked to closure. [Summarize the headline result and the most significant findings in three or four sentences a director can act on.]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2. Findings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>« One row per finding. Use the same severity scale as the Risk Register (High / Medium / Low). Keep the recommendation specific. 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800"/>
        <w:gridCol w:w="1400"/>
        <w:gridCol w:w="3160"/>
      </w:tblGrid>
      <w:tr>
        <w:trPr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ID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Finding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Severity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Recommendation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F-01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[finding]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[High / Med / Low]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[recommendation]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F-02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[finding]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[High / Med / Low]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[recommendation]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 ]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[Add findings as needed.]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 ]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 ]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3. Remediation Tracking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>« Each finding's owner, action, due date, and status. Open items are mirrored into the Risk / Finding Register (POA&amp;M); this report feeds it, it does not replace it. 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900"/>
        <w:gridCol w:w="3000"/>
        <w:gridCol w:w="1460"/>
        <w:gridCol w:w="1600"/>
      </w:tblGrid>
      <w:tr>
        <w:trPr>
          <w:tblHeader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Finding ID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Owner (role)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Action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Due date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Status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F-01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[role]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[action]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[date]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[Open / In progress / Closed]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F-02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[role]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[action]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[date]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[Open / In progress / Closed]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Profile Scaling Notes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One short paragraph per profile: what minimum-viable looks like for that reader and where to scale up. Keep all three if this ships as a template; delete the profiles that do not apply once adopted.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PSAP Profile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Minimum-viable implementation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Small (1–5 dispatchers, no in-house IT)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A basic vulnerability scan and a short written report may be all that is realistic in-house; the county or a vendor often runs it. Record the scope, tool, findings, and what was fixed, and carry open items to the finding register.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Medium (6–25, shared county IT)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Regular authenticated scans with a written report, plus a periodic independent assessment. A security coordinator triages findings and tracks them in the finding register.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Large (25+, dedicated IT/security)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A formal program: scheduled scans, an annual independent penetration test, and reports reviewed by system owners and an independent assessor, with findings tracked to closure.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hAnsi="Aptos" w:cs="Aptos"/>
                <w:b/>
                <w:i w:val="0"/>
                <w:color w:val="1B3A5C"/>
                <w:sz w:val="24"/>
              </w:rPr>
              <w:t>Source Authority</w:t>
            </w:r>
          </w:p>
          <w:p>
            <w:pPr>
              <w:spacing w:after="140"/>
            </w:pPr>
            <w:r>
              <w:rPr>
                <w:rFonts w:ascii="Aptos" w:hAnsi="Aptos" w:cs="Aptos"/>
                <w:b w:val="0"/>
                <w:i/>
                <w:color w:val="595959"/>
                <w:sz w:val="24"/>
              </w:rPr>
              <w:t>List only the authorities that map to content in this artifact. Group by authority; order sections and control IDs numerically; add no padding.</w:t>
            </w:r>
          </w:p>
          <w:p>
            <w:pPr>
              <w:spacing w:after="40" w:before="0"/>
            </w:pPr>
            <w:r>
              <w:rPr>
                <w:rFonts w:ascii="Aptos" w:hAnsi="Aptos" w:cs="Aptos"/>
                <w:b w:val="0"/>
                <w:i w:val="0"/>
                <w:sz w:val="24"/>
              </w:rPr>
              <w:t>NENA-STA-040.2-2024: §5.2</w:t>
            </w:r>
          </w:p>
          <w:p>
            <w:pPr>
              <w:spacing w:after="40" w:before="0"/>
            </w:pPr>
            <w:r>
              <w:rPr>
                <w:rFonts w:ascii="Aptos" w:hAnsi="Aptos" w:cs="Aptos"/>
                <w:b w:val="0"/>
                <w:i w:val="0"/>
                <w:sz w:val="24"/>
              </w:rPr>
              <w:t>NIST SP 800-53 Rev. 5: CA-2, CA-8, RA-5, SI-2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60"/>
        <w:gridCol w:w="2600"/>
        <w:gridCol w:w="140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Signature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[Assessor (role)]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[Reviewed by (role)]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600"/>
        <w:gridCol w:w="2200"/>
        <w:gridCol w:w="4260"/>
      </w:tblGrid>
      <w:tr>
        <w:trPr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Author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Summary of Change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[#]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[Date]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[Role]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[Initial issue]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hAnsi="Aptos" w:cs="Aptos"/>
                <w:b/>
                <w:i w:val="0"/>
                <w:color w:val="1B3A5C"/>
                <w:sz w:val="24"/>
              </w:rPr>
              <w:t xml:space="preserve">Drafter's note </w:t>
            </w:r>
            <w:r>
              <w:rPr>
                <w:rFonts w:ascii="Aptos" w:hAnsi="Aptos" w:cs="Aptos"/>
                <w:b w:val="0"/>
                <w:i w:val="0"/>
                <w:color w:val="595959"/>
                <w:sz w:val="24"/>
              </w:rPr>
              <w:t>(internal, delete before publishing)</w:t>
            </w:r>
          </w:p>
          <w:p>
            <w:pPr>
              <w:spacing w:after="140"/>
            </w:pPr>
            <w:r>
              <w:rPr>
                <w:rFonts w:ascii="Aptos" w:hAnsi="Aptos" w:cs="Aptos"/>
                <w:b w:val="0"/>
                <w:i w:val="0"/>
                <w:sz w:val="24"/>
              </w:rPr>
              <w:t>A penetration test is issued as this same report, with its rules of engagement recorded in the Cover 'Tool / methodology' line; the independent-assessor requirement is captured in the 'Assessor' line. Findings feed the Risk / Finding Register (POA&amp;M) and are not duplicated here.</w:t>
            </w:r>
          </w:p>
          <w:p>
            <w:pPr>
              <w:spacing w:after="140"/>
            </w:pPr>
            <w:r>
              <w:rPr>
                <w:rFonts w:ascii="Aptos" w:hAnsi="Aptos" w:cs="Aptos"/>
                <w:b w:val="0"/>
                <w:i w:val="0"/>
                <w:sz w:val="24"/>
              </w:rPr>
              <w:t>If an assessment covers systems that reach CJIS-regulated data (via IDACS), add the applicable CJIS Security Policy section to the Source Authority. Agency-supplied values in brackets: [Agency Name], assessor and owner roles, scope, tool, dates, and all findings.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color w:val="595959"/>
        <w:sz w:val="18"/>
        <w:szCs w:val="18"/>
      </w:rPr>
      <w:t xml:space="preserve">Page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595959"/>
        <w:sz w:val="18"/>
        <w:szCs w:val="18"/>
      </w:rPr>
      <w:t xml:space="preserve"> of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6" w:space="2"/>
      </w:pBdr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ptos" w:cs="Aptos" w:eastAsia="Aptos" w:hAnsi="Aptos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ptos" w:cs="Aptos" w:eastAsia="Aptos" w:hAnsi="Aptos"/>
      <w:b/>
      <w:bCs/>
      <w:color w:val="1B3A5C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2026-06-01T15:29:11.506Z</dcterms:created>
  <dcterms:modified xsi:type="dcterms:W3CDTF">2026-06-01T15:29:11.506Z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