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i w:val="false"/>
          <w:iCs w:val="false"/>
          <w:color w:val="1B3A5C"/>
          <w:sz w:val="40"/>
          <w:szCs w:val="40"/>
        </w:rPr>
        <w:t xml:space="preserve">Data Labeling Procedures</w:t>
      </w:r>
    </w:p>
    <w:p>
      <w:pPr>
        <w:spacing w:after="140"/>
      </w:pPr>
      <w:r>
        <w:rPr>
          <w:rFonts w:ascii="Aptos" w:cs="Aptos" w:eastAsia="Aptos" w:hAnsi="Aptos"/>
          <w:b w:val="false"/>
          <w:bCs w:val="false"/>
          <w:i/>
          <w:iCs/>
          <w:color w:val="595959"/>
          <w:sz w:val="24"/>
          <w:szCs w:val="24"/>
        </w:rPr>
        <w:t xml:space="preserve">How classification labels are applied and kept current across the data lifecycle, per the Data Classification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40"/>
            </w:pPr>
            <w:r>
              <w:rPr>
                <w:rFonts w:ascii="Aptos" w:cs="Aptos" w:eastAsia="Aptos" w:hAnsi="Aptos"/>
                <w:b/>
                <w:bCs/>
                <w:i w:val="false"/>
                <w:iCs w:val="false"/>
                <w:color w:val="000000"/>
                <w:sz w:val="24"/>
                <w:szCs w:val="24"/>
              </w:rPr>
              <w:t xml:space="preserve">Authority: </w:t>
            </w:r>
            <w:r>
              <w:rPr>
                <w:rFonts w:ascii="Aptos" w:cs="Aptos" w:eastAsia="Aptos" w:hAnsi="Aptos"/>
                <w:b w:val="false"/>
                <w:bCs w:val="false"/>
                <w:i w:val="false"/>
                <w:iCs w:val="false"/>
                <w:color w:val="000000"/>
                <w:sz w:val="24"/>
                <w:szCs w:val="24"/>
              </w:rPr>
              <w:t xml:space="preserve">Adopted by </w:t>
            </w:r>
            <w:r>
              <w:rPr>
                <w:rFonts w:ascii="Aptos" w:cs="Aptos" w:eastAsia="Aptos" w:hAnsi="Aptos"/>
                <w:b/>
                <w:bCs/>
                <w:i w:val="false"/>
                <w:iCs w:val="false"/>
                <w:color w:val="000000"/>
                <w:sz w:val="24"/>
                <w:szCs w:val="24"/>
              </w:rPr>
              <w:t xml:space="preserve">[Agency Name]</w:t>
            </w:r>
            <w:r>
              <w:rPr>
                <w:rFonts w:ascii="Aptos" w:cs="Aptos" w:eastAsia="Aptos" w:hAnsi="Aptos"/>
                <w:b w:val="false"/>
                <w:bCs w:val="false"/>
                <w:i w:val="false"/>
                <w:iCs w:val="false"/>
                <w:color w:val="000000"/>
                <w:sz w:val="24"/>
                <w:szCs w:val="24"/>
              </w:rPr>
              <w:t xml:space="preserve"> under the authority of </w:t>
            </w:r>
            <w:r>
              <w:rPr>
                <w:rFonts w:ascii="Aptos" w:cs="Aptos" w:eastAsia="Aptos" w:hAnsi="Aptos"/>
                <w:b/>
                <w:bCs/>
                <w:i w:val="false"/>
                <w:iCs w:val="false"/>
                <w:color w:val="000000"/>
                <w:sz w:val="24"/>
                <w:szCs w:val="24"/>
              </w:rPr>
              <w:t xml:space="preserve">[signing official / title]</w:t>
            </w:r>
            <w:r>
              <w:rPr>
                <w:rFonts w:ascii="Aptos" w:cs="Aptos" w:eastAsia="Aptos" w:hAnsi="Aptos"/>
                <w:b w:val="false"/>
                <w:bCs w:val="false"/>
                <w:i w:val="false"/>
                <w:iCs w:val="false"/>
                <w:color w:val="000000"/>
                <w:sz w:val="24"/>
                <w:szCs w:val="24"/>
              </w:rPr>
              <w:t xml:space="preserve">.</w:t>
            </w:r>
          </w:p>
          <w:p>
            <w:pPr>
              <w:spacing w:after="40"/>
            </w:pPr>
            <w:r>
              <w:rPr>
                <w:rFonts w:ascii="Aptos" w:cs="Aptos" w:eastAsia="Aptos" w:hAnsi="Aptos"/>
                <w:b/>
                <w:bCs/>
                <w:i w:val="false"/>
                <w:iCs w:val="false"/>
                <w:color w:val="000000"/>
                <w:sz w:val="24"/>
                <w:szCs w:val="24"/>
              </w:rPr>
              <w:t xml:space="preserve">Version: </w:t>
            </w:r>
            <w:r>
              <w:rPr>
                <w:rFonts w:ascii="Aptos" w:cs="Aptos" w:eastAsia="Aptos" w:hAnsi="Aptos"/>
                <w:b w:val="false"/>
                <w:bCs w:val="false"/>
                <w:i w:val="false"/>
                <w:iCs w:val="false"/>
                <w:color w:val="000000"/>
                <w:sz w:val="24"/>
                <w:szCs w:val="24"/>
              </w:rPr>
              <w:t xml:space="preserve">[#]    </w:t>
            </w:r>
            <w:r>
              <w:rPr>
                <w:rFonts w:ascii="Aptos" w:cs="Aptos" w:eastAsia="Aptos" w:hAnsi="Aptos"/>
                <w:b/>
                <w:bCs/>
                <w:i w:val="false"/>
                <w:iCs w:val="false"/>
                <w:color w:val="000000"/>
                <w:sz w:val="24"/>
                <w:szCs w:val="24"/>
              </w:rPr>
              <w:t xml:space="preserve">Effective Date: </w:t>
            </w:r>
            <w:r>
              <w:rPr>
                <w:rFonts w:ascii="Aptos" w:cs="Aptos" w:eastAsia="Aptos" w:hAnsi="Aptos"/>
                <w:b w:val="false"/>
                <w:bCs w:val="false"/>
                <w:i w:val="false"/>
                <w:iCs w:val="false"/>
                <w:color w:val="000000"/>
                <w:sz w:val="24"/>
                <w:szCs w:val="24"/>
              </w:rPr>
              <w:t xml:space="preserve">[Date]    </w:t>
            </w:r>
            <w:r>
              <w:rPr>
                <w:rFonts w:ascii="Aptos" w:cs="Aptos" w:eastAsia="Aptos" w:hAnsi="Aptos"/>
                <w:b/>
                <w:bCs/>
                <w:i w:val="false"/>
                <w:iCs w:val="false"/>
                <w:color w:val="000000"/>
                <w:sz w:val="24"/>
                <w:szCs w:val="24"/>
              </w:rPr>
              <w:t xml:space="preserve">Next Review: </w:t>
            </w:r>
            <w:r>
              <w:rPr>
                <w:rFonts w:ascii="Aptos" w:cs="Aptos" w:eastAsia="Aptos" w:hAnsi="Aptos"/>
                <w:b w:val="false"/>
                <w:bCs w:val="false"/>
                <w:i w:val="false"/>
                <w:iCs w:val="false"/>
                <w:color w:val="000000"/>
                <w:sz w:val="24"/>
                <w:szCs w:val="24"/>
              </w:rPr>
              <w:t xml:space="preserve">[Date]</w:t>
            </w:r>
          </w:p>
          <w:p>
            <w:pPr>
              <w:spacing w:after="40"/>
            </w:pPr>
            <w:r>
              <w:rPr>
                <w:rFonts w:ascii="Aptos" w:cs="Aptos" w:eastAsia="Aptos" w:hAnsi="Aptos"/>
                <w:b/>
                <w:bCs/>
                <w:i w:val="false"/>
                <w:iCs w:val="false"/>
                <w:color w:val="000000"/>
                <w:sz w:val="24"/>
                <w:szCs w:val="24"/>
              </w:rPr>
              <w:t xml:space="preserve">Owner: </w:t>
            </w:r>
            <w:r>
              <w:rPr>
                <w:rFonts w:ascii="Aptos" w:cs="Aptos" w:eastAsia="Aptos" w:hAnsi="Aptos"/>
                <w:b w:val="false"/>
                <w:bCs w:val="false"/>
                <w:i w:val="false"/>
                <w:iCs w:val="false"/>
                <w:color w:val="000000"/>
                <w:sz w:val="24"/>
                <w:szCs w:val="24"/>
              </w:rPr>
              <w:t xml:space="preserve">[Role title]</w:t>
            </w:r>
            <w:r>
              <w:rPr>
                <w:rFonts w:ascii="Aptos" w:cs="Aptos" w:eastAsia="Aptos" w:hAnsi="Aptos"/>
                <w:i/>
                <w:iCs/>
                <w:color w:val="595959"/>
                <w:sz w:val="24"/>
                <w:szCs w:val="24"/>
              </w:rPr>
              <w:t xml:space="preserve">   « use a role, not a person's name »</w:t>
            </w:r>
          </w:p>
          <w:p>
            <w:pPr>
              <w:spacing w:after="40"/>
            </w:pPr>
            <w:r>
              <w:rPr>
                <w:rFonts w:ascii="Aptos" w:cs="Aptos" w:eastAsia="Aptos" w:hAnsi="Aptos"/>
                <w:b/>
                <w:bCs/>
                <w:i w:val="false"/>
                <w:iCs w:val="false"/>
                <w:color w:val="000000"/>
                <w:sz w:val="24"/>
                <w:szCs w:val="24"/>
              </w:rPr>
              <w:t xml:space="preserve">Classification: </w:t>
            </w:r>
            <w:r>
              <w:rPr>
                <w:rFonts w:ascii="Aptos" w:cs="Aptos" w:eastAsia="Aptos" w:hAnsi="Aptos"/>
                <w:b w:val="false"/>
                <w:bCs w:val="false"/>
                <w:i w:val="false"/>
                <w:iCs w:val="false"/>
                <w:color w:val="000000"/>
                <w:sz w:val="24"/>
                <w:szCs w:val="24"/>
              </w:rPr>
              <w:t xml:space="preserve">Internal</w:t>
            </w:r>
            <w:r>
              <w:rPr>
                <w:rFonts w:ascii="Aptos" w:cs="Aptos" w:eastAsia="Aptos" w:hAnsi="Aptos"/>
                <w:i/>
                <w:iCs/>
                <w:color w:val="595959"/>
                <w:sz w:val="24"/>
                <w:szCs w:val="24"/>
              </w:rPr>
              <w:t xml:space="preserve">   « Minimum for this artifact. Raise to Restricted if the procedure encodes defensive logic.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color w:val="1B3A5C"/>
                <w:sz w:val="24"/>
                <w:szCs w:val="24"/>
              </w:rPr>
              <w:t xml:space="preserve">How to use this template </w:t>
            </w:r>
            <w:r>
              <w:rPr>
                <w:rFonts w:ascii="Aptos" w:cs="Aptos" w:eastAsia="Aptos" w:hAnsi="Aptos"/>
                <w:color w:val="595959"/>
                <w:sz w:val="24"/>
                <w:szCs w:val="24"/>
              </w:rPr>
              <w:t xml:space="preserve">(delete this box before publishing)</w:t>
            </w:r>
          </w:p>
          <w:p>
            <w:pPr>
              <w:spacing w:after="60"/>
            </w:pPr>
            <w:r>
              <w:rPr>
                <w:rFonts w:ascii="Aptos" w:cs="Aptos" w:eastAsia="Aptos" w:hAnsi="Aptos"/>
                <w:color w:val="595959"/>
                <w:sz w:val="24"/>
                <w:szCs w:val="24"/>
              </w:rPr>
              <w:t xml:space="preserve">This template is ready to adopt. Replace every [BRACKETED] field with your agency's information, follow the « » guidance notes, and complete every required (bold) field. Delete every « » note before publishing.</w:t>
            </w:r>
          </w:p>
          <w:p>
            <w:pPr>
              <w:spacing w:after="60"/>
            </w:pPr>
            <w:r>
              <w:rPr>
                <w:rFonts w:ascii="Aptos" w:cs="Aptos" w:eastAsia="Aptos" w:hAnsi="Aptos"/>
                <w:b/>
                <w:bCs/>
                <w:i w:val="false"/>
                <w:iCs w:val="false"/>
                <w:color w:val="000000"/>
                <w:sz w:val="24"/>
                <w:szCs w:val="24"/>
              </w:rPr>
              <w:t xml:space="preserve">Placeholder key:  </w:t>
            </w:r>
            <w:r>
              <w:rPr>
                <w:rFonts w:ascii="Aptos" w:cs="Aptos" w:eastAsia="Aptos" w:hAnsi="Aptos"/>
                <w:b w:val="false"/>
                <w:bCs w:val="false"/>
                <w:i w:val="false"/>
                <w:iCs w:val="false"/>
                <w:color w:val="000000"/>
                <w:sz w:val="24"/>
                <w:szCs w:val="24"/>
              </w:rPr>
              <w:t xml:space="preserve">[BRACKETED]</w:t>
            </w:r>
            <w:r>
              <w:rPr>
                <w:rFonts w:ascii="Aptos" w:cs="Aptos" w:eastAsia="Aptos" w:hAnsi="Aptos"/>
                <w:b w:val="false"/>
                <w:bCs w:val="false"/>
                <w:i w:val="false"/>
                <w:iCs w:val="false"/>
                <w:color w:val="000000"/>
                <w:sz w:val="24"/>
                <w:szCs w:val="24"/>
              </w:rPr>
              <w:t xml:space="preserve">  = fill in   ·   </w:t>
            </w:r>
            <w:r>
              <w:rPr>
                <w:rFonts w:ascii="Aptos" w:cs="Aptos" w:eastAsia="Aptos" w:hAnsi="Aptos"/>
                <w:b/>
                <w:bCs/>
                <w:i w:val="false"/>
                <w:iCs w:val="false"/>
                <w:color w:val="000000"/>
                <w:sz w:val="24"/>
                <w:szCs w:val="24"/>
              </w:rPr>
              <w:t xml:space="preserve">[REQUIRED]</w:t>
            </w:r>
            <w:r>
              <w:rPr>
                <w:rFonts w:ascii="Aptos" w:cs="Aptos" w:eastAsia="Aptos" w:hAnsi="Aptos"/>
                <w:b w:val="false"/>
                <w:bCs w:val="false"/>
                <w:i w:val="false"/>
                <w:iCs w:val="false"/>
                <w:color w:val="000000"/>
                <w:sz w:val="24"/>
                <w:szCs w:val="24"/>
              </w:rPr>
              <w:t xml:space="preserve"> (bold) = required field   ·   </w:t>
            </w:r>
            <w:r>
              <w:rPr>
                <w:rFonts w:ascii="Aptos" w:cs="Aptos" w:eastAsia="Aptos" w:hAnsi="Aptos"/>
                <w:color w:val="595959"/>
                <w:sz w:val="24"/>
                <w:szCs w:val="24"/>
              </w:rPr>
              <w:t xml:space="preserve">« »</w:t>
            </w:r>
            <w:r>
              <w:rPr>
                <w:rFonts w:ascii="Aptos" w:cs="Aptos" w:eastAsia="Aptos" w:hAnsi="Aptos"/>
                <w:b w:val="false"/>
                <w:bCs w:val="false"/>
                <w:i w:val="false"/>
                <w:iCs w:val="false"/>
                <w:color w:val="000000"/>
                <w:sz w:val="24"/>
                <w:szCs w:val="24"/>
              </w:rPr>
              <w:t xml:space="preserve"> = guidance to delete.</w:t>
            </w:r>
          </w:p>
          <w:p>
            <w:pPr>
              <w:spacing w:after="0"/>
            </w:pPr>
            <w:r>
              <w:rPr>
                <w:rFonts w:ascii="Aptos" w:cs="Aptos" w:eastAsia="Aptos" w:hAnsi="Aptos"/>
                <w:color w:val="595959"/>
                <w:sz w:val="24"/>
                <w:szCs w:val="24"/>
              </w:rPr>
              <w:t xml:space="preserve">Keep the body director-readable. Push technical detail and contact lists to an appendix. Source Authority, approval signatures, and revision history stay at the foot of the document.</w:t>
            </w:r>
          </w:p>
        </w:tc>
      </w:tr>
    </w:tbl>
    <w:p>
      <w:pPr>
        <w:spacing w:after="100" w:before="220"/>
      </w:pPr>
      <w:r>
        <w:rPr>
          <w:rFonts w:ascii="Aptos" w:cs="Aptos" w:eastAsia="Aptos" w:hAnsi="Aptos"/>
          <w:b/>
          <w:bCs/>
          <w:color w:val="1B3A5C"/>
          <w:sz w:val="26"/>
          <w:szCs w:val="26"/>
        </w:rPr>
        <w:t xml:space="preserve">1. Purpose</w:t>
      </w:r>
    </w:p>
    <w:p>
      <w:pPr>
        <w:spacing w:after="80"/>
      </w:pPr>
      <w:r>
        <w:rPr>
          <w:rFonts w:ascii="Aptos" w:cs="Aptos" w:eastAsia="Aptos" w:hAnsi="Aptos"/>
          <w:b w:val="false"/>
          <w:bCs w:val="false"/>
          <w:i/>
          <w:iCs/>
          <w:color w:val="595959"/>
          <w:sz w:val="24"/>
          <w:szCs w:val="24"/>
        </w:rPr>
        <w:t xml:space="preserve">« What this procedure accomplishes and when it is performed. »</w:t>
      </w:r>
    </w:p>
    <w:p>
      <w:pPr>
        <w:spacing w:after="80"/>
      </w:pPr>
      <w:r>
        <w:rPr>
          <w:rFonts w:ascii="Aptos" w:cs="Aptos" w:eastAsia="Aptos" w:hAnsi="Aptos"/>
          <w:b w:val="false"/>
          <w:bCs w:val="false"/>
          <w:i w:val="false"/>
          <w:iCs w:val="false"/>
          <w:color w:val="000000"/>
          <w:sz w:val="24"/>
          <w:szCs w:val="24"/>
        </w:rPr>
        <w:t xml:space="preserve">Apply and maintain classification labels on Agency data so that handling, access, retention, and disposal follow the data's sensitivity. Labels are applied when data is created or received and reviewed whenever data moves.</w:t>
      </w:r>
    </w:p>
    <w:p>
      <w:pPr>
        <w:spacing w:after="100" w:before="220"/>
      </w:pPr>
      <w:r>
        <w:rPr>
          <w:rFonts w:ascii="Aptos" w:cs="Aptos" w:eastAsia="Aptos" w:hAnsi="Aptos"/>
          <w:b/>
          <w:bCs/>
          <w:color w:val="1B3A5C"/>
          <w:sz w:val="26"/>
          <w:szCs w:val="26"/>
        </w:rPr>
        <w:t xml:space="preserve">2. Scope</w:t>
      </w:r>
    </w:p>
    <w:p>
      <w:pPr>
        <w:spacing w:after="80"/>
      </w:pPr>
      <w:r>
        <w:rPr>
          <w:rFonts w:ascii="Aptos" w:cs="Aptos" w:eastAsia="Aptos" w:hAnsi="Aptos"/>
          <w:b w:val="false"/>
          <w:bCs w:val="false"/>
          <w:i w:val="false"/>
          <w:iCs w:val="false"/>
          <w:color w:val="000000"/>
          <w:sz w:val="24"/>
          <w:szCs w:val="24"/>
        </w:rPr>
        <w:t xml:space="preserve">Applies to: all personnel who create, receive, or move Agency data; dispatchers, supervisors, administrative staff, IT, vendors with data access.</w:t>
      </w:r>
    </w:p>
    <w:p>
      <w:pPr>
        <w:spacing w:after="80"/>
      </w:pPr>
      <w:r>
        <w:rPr>
          <w:rFonts w:ascii="Aptos" w:cs="Aptos" w:eastAsia="Aptos" w:hAnsi="Aptos"/>
          <w:b w:val="false"/>
          <w:bCs w:val="false"/>
          <w:i w:val="false"/>
          <w:iCs w:val="false"/>
          <w:color w:val="000000"/>
          <w:sz w:val="24"/>
          <w:szCs w:val="24"/>
        </w:rPr>
        <w:t xml:space="preserve">Covers: data created internally, data received from external parties, and data moved across departments or to partners, in any form (electronic, recorded audio, paper, removable media).</w:t>
      </w:r>
    </w:p>
    <w:p>
      <w:pPr>
        <w:spacing w:after="80"/>
      </w:pPr>
      <w:r>
        <w:rPr>
          <w:rFonts w:ascii="Aptos" w:cs="Aptos" w:eastAsia="Aptos" w:hAnsi="Aptos"/>
          <w:b w:val="false"/>
          <w:bCs w:val="false"/>
          <w:i w:val="false"/>
          <w:iCs w:val="false"/>
          <w:color w:val="000000"/>
          <w:sz w:val="24"/>
          <w:szCs w:val="24"/>
        </w:rPr>
        <w:t xml:space="preserve">Excludes: [exclusions, if any].</w:t>
      </w:r>
    </w:p>
    <w:p>
      <w:pPr>
        <w:spacing w:after="100" w:before="220"/>
      </w:pPr>
      <w:r>
        <w:rPr>
          <w:rFonts w:ascii="Aptos" w:cs="Aptos" w:eastAsia="Aptos" w:hAnsi="Aptos"/>
          <w:b/>
          <w:bCs/>
          <w:color w:val="1B3A5C"/>
          <w:sz w:val="26"/>
          <w:szCs w:val="26"/>
        </w:rPr>
        <w:t xml:space="preserve">3. Prerequisites</w:t>
      </w:r>
    </w:p>
    <w:p>
      <w:pPr>
        <w:spacing w:after="80"/>
      </w:pPr>
      <w:r>
        <w:rPr>
          <w:rFonts w:ascii="Aptos" w:cs="Aptos" w:eastAsia="Aptos" w:hAnsi="Aptos"/>
          <w:b w:val="false"/>
          <w:bCs w:val="false"/>
          <w:i/>
          <w:iCs/>
          <w:color w:val="595959"/>
          <w:sz w:val="24"/>
          <w:szCs w:val="24"/>
        </w:rPr>
        <w:t xml:space="preserve">« What must be true before applying labels. »</w:t>
      </w:r>
    </w:p>
    <w:p>
      <w:pPr>
        <w:spacing w:after="80"/>
      </w:pPr>
      <w:r>
        <w:rPr>
          <w:rFonts w:ascii="Aptos" w:cs="Aptos" w:eastAsia="Aptos" w:hAnsi="Aptos"/>
          <w:b w:val="false"/>
          <w:bCs w:val="false"/>
          <w:i w:val="false"/>
          <w:iCs w:val="false"/>
          <w:color w:val="000000"/>
          <w:sz w:val="24"/>
          <w:szCs w:val="24"/>
        </w:rPr>
        <w:t xml:space="preserve">Classification levels defined in the Data Classification Policy (Internal, Restricted, Confidential), with examples per level.</w:t>
      </w:r>
    </w:p>
    <w:p>
      <w:pPr>
        <w:spacing w:after="80"/>
      </w:pPr>
      <w:r>
        <w:rPr>
          <w:rFonts w:ascii="Aptos" w:cs="Aptos" w:eastAsia="Aptos" w:hAnsi="Aptos"/>
          <w:b w:val="false"/>
          <w:bCs w:val="false"/>
          <w:i w:val="false"/>
          <w:iCs w:val="false"/>
          <w:color w:val="000000"/>
          <w:sz w:val="24"/>
          <w:szCs w:val="24"/>
        </w:rPr>
        <w:t xml:space="preserve">Labeling tools or conventions available: document templates, folder/share markings, email classification markings, physical labels for media and paper.</w:t>
      </w:r>
    </w:p>
    <w:p>
      <w:pPr>
        <w:spacing w:after="80"/>
      </w:pPr>
      <w:r>
        <w:rPr>
          <w:rFonts w:ascii="Aptos" w:cs="Aptos" w:eastAsia="Aptos" w:hAnsi="Aptos"/>
          <w:b w:val="false"/>
          <w:bCs w:val="false"/>
          <w:i w:val="false"/>
          <w:iCs w:val="false"/>
          <w:color w:val="000000"/>
          <w:sz w:val="24"/>
          <w:szCs w:val="24"/>
        </w:rPr>
        <w:t xml:space="preserve">Personnel have completed the data-handling element of security awareness training.</w:t>
      </w:r>
    </w:p>
    <w:p>
      <w:pPr>
        <w:spacing w:after="100" w:before="220"/>
      </w:pPr>
      <w:r>
        <w:rPr>
          <w:rFonts w:ascii="Aptos" w:cs="Aptos" w:eastAsia="Aptos" w:hAnsi="Aptos"/>
          <w:b/>
          <w:bCs/>
          <w:color w:val="1B3A5C"/>
          <w:sz w:val="26"/>
          <w:szCs w:val="26"/>
        </w:rPr>
        <w:t xml:space="preserve">4. Procedure Steps</w:t>
      </w:r>
    </w:p>
    <w:p>
      <w:pPr>
        <w:spacing w:after="80"/>
      </w:pPr>
      <w:r>
        <w:rPr>
          <w:rFonts w:ascii="Aptos" w:cs="Aptos" w:eastAsia="Aptos" w:hAnsi="Aptos"/>
          <w:b w:val="false"/>
          <w:bCs w:val="false"/>
          <w:i/>
          <w:iCs/>
          <w:color w:val="595959"/>
          <w:sz w:val="24"/>
          <w:szCs w:val="24"/>
        </w:rPr>
        <w:t xml:space="preserve">« Grouped by the four labeling scenarios. One action per step; name the responsible role per step. »</w:t>
      </w:r>
    </w:p>
    <w:p>
      <w:pPr>
        <w:spacing w:after="80"/>
      </w:pPr>
      <w:r>
        <w:rPr>
          <w:rFonts w:ascii="Aptos" w:cs="Aptos" w:eastAsia="Aptos" w:hAnsi="Aptos"/>
          <w:b/>
          <w:bCs/>
          <w:i w:val="false"/>
          <w:iCs w:val="false"/>
          <w:color w:val="000000"/>
          <w:sz w:val="24"/>
          <w:szCs w:val="24"/>
        </w:rPr>
        <w:t xml:space="preserve">4.1  Default labels on new or internally created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rPr>
          <w:tblHeader/>
        </w:trPr>
        <w:tc>
          <w:tcPr>
            <w:tcW w:type="dxa" w:w="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7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1</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On creating a document, record, or dataset, assign a classification label using the Data Classification Policy levels.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[Creator / author]</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2</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If the content fits more than one level, apply the higher level.</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[Creator / author]</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3</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Mark the label visibly: in the document header/footer, the file or folder name convention, or a physical label for paper and media.</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[Creator / author]</w:t>
            </w:r>
          </w:p>
        </w:tc>
      </w:tr>
    </w:tbl>
    <w:p>
      <w:pPr>
        <w:spacing w:after="80"/>
      </w:pPr>
      <w:r>
        <w:rPr>
          <w:rFonts w:ascii="Aptos" w:cs="Aptos" w:eastAsia="Aptos" w:hAnsi="Aptos"/>
          <w:b/>
          <w:bCs/>
          <w:i w:val="false"/>
          <w:iCs w:val="false"/>
          <w:color w:val="000000"/>
          <w:sz w:val="24"/>
          <w:szCs w:val="24"/>
        </w:rPr>
        <w:t xml:space="preserve">4.2  Classifying external data on receipt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rPr>
          <w:tblHeader/>
        </w:trPr>
        <w:tc>
          <w:tcPr>
            <w:tcW w:type="dxa" w:w="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7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1</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On receiving data from an external party, determine its classification using the Data Classification Policy; do not assume it is unclassified.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[Receiver]</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2</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If the sender supplied a label, map it to the Agency's levels; apply the Agency label.</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[Receiver]</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3</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If classification cannot be determined, default to Restricted until reviewed.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[Receiver]</w:t>
            </w:r>
          </w:p>
        </w:tc>
      </w:tr>
    </w:tbl>
    <w:p>
      <w:pPr>
        <w:spacing w:after="80"/>
      </w:pPr>
      <w:r>
        <w:rPr>
          <w:rFonts w:ascii="Aptos" w:cs="Aptos" w:eastAsia="Aptos" w:hAnsi="Aptos"/>
          <w:b/>
          <w:bCs/>
          <w:i w:val="false"/>
          <w:iCs w:val="false"/>
          <w:color w:val="000000"/>
          <w:sz w:val="24"/>
          <w:szCs w:val="24"/>
        </w:rPr>
        <w:t xml:space="preserve">4.3  Label review when data moves across departments or to partners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rPr>
          <w:tblHeader/>
        </w:trPr>
        <w:tc>
          <w:tcPr>
            <w:tcW w:type="dxa" w:w="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7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1</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Before sending data to another department or an external partner, confirm the current label is still correct.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[Sender]</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2</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Re-label if combining or extracting data changes its sensitivity (for example, aggregating records into a report).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[Sender]</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3</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Confirm the receiving party is authorized for that classification before releasing; record the transfer where required.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[Sender / Owner role]</w:t>
            </w:r>
          </w:p>
        </w:tc>
      </w:tr>
    </w:tbl>
    <w:p>
      <w:pPr>
        <w:spacing w:after="80"/>
      </w:pPr>
      <w:r>
        <w:rPr>
          <w:rFonts w:ascii="Aptos" w:cs="Aptos" w:eastAsia="Aptos" w:hAnsi="Aptos"/>
          <w:b/>
          <w:bCs/>
          <w:i w:val="false"/>
          <w:iCs w:val="false"/>
          <w:color w:val="000000"/>
          <w:sz w:val="24"/>
          <w:szCs w:val="24"/>
        </w:rPr>
        <w:t xml:space="preserve">4.4  How labels drive system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rPr>
          <w:tblHeader/>
        </w:trPr>
        <w:tc>
          <w:tcPr>
            <w:tcW w:type="dxa" w:w="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7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1</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Map each label to its handling rules: access permissions, encryption, storage location, transmission method, and retention.</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[IT support / Owner role]</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2</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Configure access so that label-based permissions are enforced and access denials are logged.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[IT support]</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3</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Review label-to-control mappings on the policy review cycle and after system changes.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[Owner role]</w:t>
            </w:r>
          </w:p>
        </w:tc>
      </w:tr>
    </w:tbl>
    <w:p>
      <w:pPr>
        <w:spacing w:after="100" w:before="220"/>
      </w:pPr>
      <w:r>
        <w:rPr>
          <w:rFonts w:ascii="Aptos" w:cs="Aptos" w:eastAsia="Aptos" w:hAnsi="Aptos"/>
          <w:b/>
          <w:bCs/>
          <w:color w:val="1B3A5C"/>
          <w:sz w:val="26"/>
          <w:szCs w:val="26"/>
        </w:rPr>
        <w:t xml:space="preserve">5. Verification Criteria</w:t>
      </w:r>
    </w:p>
    <w:p>
      <w:pPr>
        <w:spacing w:after="80"/>
      </w:pPr>
      <w:r>
        <w:rPr>
          <w:rFonts w:ascii="Aptos" w:cs="Aptos" w:eastAsia="Aptos" w:hAnsi="Aptos"/>
          <w:b w:val="false"/>
          <w:bCs w:val="false"/>
          <w:i/>
          <w:iCs/>
          <w:color w:val="595959"/>
          <w:sz w:val="24"/>
          <w:szCs w:val="24"/>
        </w:rPr>
        <w:t xml:space="preserve">« How the operator confirms labeling is working. State the observable result. »</w:t>
      </w:r>
    </w:p>
    <w:p>
      <w:pPr>
        <w:spacing w:after="80"/>
      </w:pPr>
      <w:r>
        <w:rPr>
          <w:rFonts w:ascii="Aptos" w:cs="Aptos" w:eastAsia="Aptos" w:hAnsi="Aptos"/>
          <w:b w:val="false"/>
          <w:bCs w:val="false"/>
          <w:i w:val="false"/>
          <w:iCs w:val="false"/>
          <w:color w:val="000000"/>
          <w:sz w:val="24"/>
          <w:szCs w:val="24"/>
        </w:rPr>
        <w:t xml:space="preserve">New and received data carries a visible, correct label; spot checks find no unlabeled items.</w:t>
      </w:r>
    </w:p>
    <w:p>
      <w:pPr>
        <w:spacing w:after="80"/>
      </w:pPr>
      <w:r>
        <w:rPr>
          <w:rFonts w:ascii="Aptos" w:cs="Aptos" w:eastAsia="Aptos" w:hAnsi="Aptos"/>
          <w:b w:val="false"/>
          <w:bCs w:val="false"/>
          <w:i w:val="false"/>
          <w:iCs w:val="false"/>
          <w:color w:val="000000"/>
          <w:sz w:val="24"/>
          <w:szCs w:val="24"/>
        </w:rPr>
        <w:t xml:space="preserve">Label-based access controls are in force and access denials are recorded in the access-monitoring log, so an unauthorized attempt against a higher-classification item produces a logged denial. Reference: Data Access Monitoring Policy.</w:t>
      </w:r>
    </w:p>
    <w:p>
      <w:pPr>
        <w:spacing w:after="100" w:before="220"/>
      </w:pPr>
      <w:r>
        <w:rPr>
          <w:rFonts w:ascii="Aptos" w:cs="Aptos" w:eastAsia="Aptos" w:hAnsi="Aptos"/>
          <w:b/>
          <w:bCs/>
          <w:color w:val="1B3A5C"/>
          <w:sz w:val="26"/>
          <w:szCs w:val="26"/>
        </w:rPr>
        <w:t xml:space="preserve">6. Related Documents</w:t>
      </w:r>
    </w:p>
    <w:p>
      <w:pPr>
        <w:spacing w:after="80"/>
      </w:pPr>
      <w:r>
        <w:rPr>
          <w:rFonts w:ascii="Aptos" w:cs="Aptos" w:eastAsia="Aptos" w:hAnsi="Aptos"/>
          <w:b w:val="false"/>
          <w:bCs w:val="false"/>
          <w:i/>
          <w:iCs/>
          <w:color w:val="595959"/>
          <w:sz w:val="24"/>
          <w:szCs w:val="24"/>
        </w:rPr>
        <w:t xml:space="preserve">« Reference dependent artifacts by their Tracker name. Point, do not restate. »</w:t>
      </w:r>
    </w:p>
    <w:p>
      <w:pPr>
        <w:spacing w:after="80"/>
      </w:pPr>
      <w:r>
        <w:rPr>
          <w:rFonts w:ascii="Aptos" w:cs="Aptos" w:eastAsia="Aptos" w:hAnsi="Aptos"/>
          <w:b w:val="false"/>
          <w:bCs w:val="false"/>
          <w:i w:val="false"/>
          <w:iCs w:val="false"/>
          <w:color w:val="000000"/>
          <w:sz w:val="24"/>
          <w:szCs w:val="24"/>
        </w:rPr>
        <w:t xml:space="preserve">Data Classification Policy; Data Access Monitoring Policy; Data Retention Schedule; Document Handling Standard; Data Inventory / Data Map.</w:t>
      </w:r>
    </w:p>
    <w:p>
      <w:pPr>
        <w:spacing w:after="100" w:before="220"/>
      </w:pPr>
      <w:r>
        <w:rPr>
          <w:rFonts w:ascii="Aptos" w:cs="Aptos" w:eastAsia="Aptos" w:hAnsi="Aptos"/>
          <w:b/>
          <w:bCs/>
          <w:color w:val="1B3A5C"/>
          <w:sz w:val="26"/>
          <w:szCs w:val="26"/>
        </w:rPr>
        <w:t xml:space="preserve">Profile Scaling Notes</w:t>
      </w:r>
    </w:p>
    <w:p>
      <w:pPr>
        <w:spacing w:after="80"/>
      </w:pPr>
      <w:r>
        <w:rPr>
          <w:rFonts w:ascii="Aptos" w:cs="Aptos" w:eastAsia="Aptos" w:hAnsi="Aptos"/>
          <w:b w:val="false"/>
          <w:bCs w:val="false"/>
          <w:i/>
          <w:iCs/>
          <w:color w:val="595959"/>
          <w:sz w:val="24"/>
          <w:szCs w:val="24"/>
        </w:rPr>
        <w:t xml:space="preserve">One short paragraph per profile: what minimum-viable looks like for that reader and where to scale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[Manual labeling: a header/footer marking on documents, a naming convention for files, and physical labels on media and paper. Default unknown external data to Restricted. County or vendor IT maps labels to share permissions.]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[Add email classification markings and folder-level permissions tied to labels. The security coordinator maintains the label-to-control mapping.]</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[Automated or tool-assisted labeling and enforcement, with access denials logged centrally and reviewed.]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color w:val="1B3A5C"/>
                <w:sz w:val="24"/>
                <w:szCs w:val="24"/>
              </w:rPr>
              <w:t xml:space="preserve">Source Authority</w:t>
            </w:r>
          </w:p>
          <w:p>
            <w:pPr>
              <w:spacing w:after="80"/>
            </w:pPr>
            <w:r>
              <w:rPr>
                <w:rFonts w:ascii="Aptos" w:cs="Aptos" w:eastAsia="Aptos" w:hAnsi="Aptos"/>
                <w:b w:val="false"/>
                <w:bCs w:val="false"/>
                <w:i/>
                <w:iCs/>
                <w:color w:val="595959"/>
                <w:sz w:val="24"/>
                <w:szCs w:val="24"/>
              </w:rPr>
              <w:t xml:space="preserve">List only the authorities that map to content in this artifact. Group by authority; order numerically. No padding.</w:t>
            </w:r>
          </w:p>
          <w:p>
            <w:pPr>
              <w:spacing w:after="20"/>
            </w:pPr>
            <w:r>
              <w:rPr>
                <w:rFonts w:ascii="Aptos" w:cs="Aptos" w:eastAsia="Aptos" w:hAnsi="Aptos"/>
                <w:b w:val="false"/>
                <w:bCs w:val="false"/>
                <w:i w:val="false"/>
                <w:iCs w:val="false"/>
                <w:color w:val="000000"/>
                <w:sz w:val="24"/>
                <w:szCs w:val="24"/>
              </w:rPr>
              <w:t xml:space="preserve">NENA-STA-040.2-2024: §4.1.4.1, §4.2.2.1, §4.2.2.3, §4.2.2.4</w:t>
            </w:r>
          </w:p>
          <w:p>
            <w:pPr>
              <w:spacing w:after="20"/>
            </w:pPr>
            <w:r>
              <w:rPr>
                <w:rFonts w:ascii="Aptos" w:cs="Aptos" w:eastAsia="Aptos" w:hAnsi="Aptos"/>
                <w:b w:val="false"/>
                <w:bCs w:val="false"/>
                <w:i w:val="false"/>
                <w:iCs w:val="false"/>
                <w:color w:val="000000"/>
                <w:sz w:val="24"/>
                <w:szCs w:val="24"/>
              </w:rPr>
              <w:t xml:space="preserve">NIST SP 800-53 Rev. 5: AC-3, AC-16, MP-3, RA-2</w:t>
            </w:r>
          </w:p>
          <w:p>
            <w:pPr>
              <w:spacing w:after="20"/>
            </w:pPr>
            <w:r>
              <w:rPr>
                <w:rFonts w:ascii="Aptos" w:cs="Aptos" w:eastAsia="Aptos" w:hAnsi="Aptos"/>
                <w:b w:val="false"/>
                <w:bCs w:val="false"/>
                <w:i w:val="false"/>
                <w:iCs w:val="false"/>
                <w:color w:val="000000"/>
                <w:sz w:val="24"/>
                <w:szCs w:val="24"/>
              </w:rPr>
              <w:t xml:space="preserve">CJIS Security Policy v5.9: §[ ]  (CJIS-regulated data in scope, via IDACS, if applicable)</w:t>
            </w:r>
          </w:p>
        </w:tc>
      </w:tr>
    </w:tbl>
    <w:p>
      <w:pPr>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[Approving official / 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[Owner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
            </w:r>
          </w:p>
        </w:tc>
      </w:tr>
    </w:tbl>
    <w:p>
      <w:pPr>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[Date]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[Initial issue]</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color w:val="1B3A5C"/>
                <w:sz w:val="24"/>
                <w:szCs w:val="24"/>
              </w:rPr>
              <w:t xml:space="preserve">Drafter's note (internal, delete before publishing)</w:t>
            </w:r>
          </w:p>
          <w:p>
            <w:pPr>
              <w:spacing w:after="0"/>
            </w:pPr>
            <w:r>
              <w:rPr>
                <w:rFonts w:ascii="Aptos" w:cs="Aptos" w:eastAsia="Aptos" w:hAnsi="Aptos"/>
                <w:b w:val="false"/>
                <w:bCs w:val="false"/>
                <w:i/>
                <w:iCs/>
                <w:color w:val="595959"/>
                <w:sz w:val="24"/>
                <w:szCs w:val="24"/>
              </w:rPr>
              <w:t xml:space="preserve">Steps are grouped into the four labeling scenarios named in the Scoping Notes (default-on-create, inbound external on receipt, re-label on transfer, label-to-control mapping) rather than one linear sequence. Verification is tied to access-denial logging per assessment question 3A-2. Depends on the Data Classification Policy (A-012). NENA citations map to §4.1.4.1 (classification policy: how data is labeled, handled, stored, managed), §4.2.2.1 (classification levels), §4.2.2.3 (default classification), and §4.2.2.4 (receipt of sensitive information).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pPr>
    <w:r>
      <w:rPr>
        <w:rFonts w:ascii="Aptos" w:cs="Aptos" w:eastAsia="Aptos" w:hAnsi="Aptos"/>
        <w:color w:val="595959"/>
        <w:sz w:val="16"/>
        <w:szCs w:val="16"/>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2026-06-04T17:40:21.682Z</dcterms:created>
  <dcterms:modified xsi:type="dcterms:W3CDTF">2026-06-04T17:40:21.682Z</dcterms:modified>
</cp:coreProperties>
</file>

<file path=docProps/custom.xml><?xml version="1.0" encoding="utf-8"?>
<Properties xmlns="http://schemas.openxmlformats.org/officeDocument/2006/custom-properties" xmlns:vt="http://schemas.openxmlformats.org/officeDocument/2006/docPropsVTypes"/>
</file>