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Standards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b/>
                <w:sz w:val="24"/>
                <w:szCs w:val="24"/>
              </w:rPr>
              <w:t xml:space="preserve">[Agency Name]</w:t>
            </w:r>
            <w:r>
              <w:rPr>
                <w:rFonts w:ascii="Aptos" w:cs="Aptos" w:eastAsia="Aptos" w:hAnsi="Aptos"/>
                <w:sz w:val="24"/>
                <w:szCs w:val="24"/>
              </w:rPr>
              <w:t xml:space="preserve"> under the authority of </w:t>
            </w:r>
            <w:r>
              <w:rPr>
                <w:rFonts w:ascii="Aptos" w:cs="Aptos" w:eastAsia="Aptos" w:hAnsi="Aptos"/>
                <w:b/>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    </w:t>
            </w:r>
            <w:r>
              <w:rPr>
                <w:rFonts w:ascii="Aptos" w:cs="Aptos" w:eastAsia="Aptos" w:hAnsi="Aptos"/>
                <w:b/>
                <w:sz w:val="24"/>
                <w:szCs w:val="24"/>
              </w:rPr>
              <w:t xml:space="preserve">Effective Date: </w:t>
            </w:r>
            <w:r>
              <w:rPr>
                <w:rFonts w:ascii="Aptos" w:cs="Aptos" w:eastAsia="Aptos" w:hAnsi="Aptos"/>
                <w:sz w:val="24"/>
                <w:szCs w:val="24"/>
              </w:rPr>
              <w:t xml:space="preserve">[Date]    </w:t>
            </w:r>
            <w:r>
              <w:rPr>
                <w:rFonts w:ascii="Aptos" w:cs="Aptos" w:eastAsia="Aptos" w:hAnsi="Aptos"/>
                <w:b/>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sz w:val="24"/>
                <w:szCs w:val="24"/>
              </w:rPr>
              <w:t xml:space="preserve">Owner: </w:t>
            </w:r>
            <w:r>
              <w:rPr>
                <w:rFonts w:ascii="Aptos" w:cs="Aptos" w:eastAsia="Aptos" w:hAnsi="Aptos"/>
                <w:sz w:val="24"/>
                <w:szCs w:val="24"/>
              </w:rPr>
              <w:t xml:space="preserve">[Role title]   </w:t>
            </w:r>
            <w:r>
              <w:rPr>
                <w:rFonts w:ascii="Aptos" w:cs="Aptos" w:eastAsia="Aptos" w:hAnsi="Aptos"/>
                <w:i/>
                <w:color w:val="595959"/>
                <w:sz w:val="24"/>
                <w:szCs w:val="24"/>
              </w:rPr>
              <w:t xml:space="preserve">«use a role, not a person’s name.»</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Restricted / CJIS</w:t>
            </w:r>
          </w:p>
          <w:p>
            <w:pPr>
              <w:spacing w:after="0"/>
            </w:pPr>
            <w:r>
              <w:rPr>
                <w:rFonts w:ascii="Aptos" w:cs="Aptos" w:eastAsia="Aptos" w:hAnsi="Aptos"/>
                <w:i/>
                <w:color w:val="595959"/>
                <w:sz w:val="24"/>
                <w:szCs w:val="24"/>
              </w:rPr>
              <w:t xml:space="preserve">«Minimum for Standard artifacts; stays Restricted because it details the Agency’s cryptographic configuration. The / CJIS marker is appended because this standard governs cryptographic protection of CJIS-regulated data, reached in Indiana through IDACS. Remove the marker if the Agency stores or transmits no CJIS-regulated data on systems it controls.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i/>
                <w:color w:val="1B3A5C"/>
                <w:sz w:val="24"/>
                <w:szCs w:val="24"/>
              </w:rPr>
              <w:t xml:space="preserve">How to use this template </w:t>
            </w:r>
            <w:r>
              <w:rPr>
                <w:rFonts w:ascii="Aptos" w:cs="Aptos" w:eastAsia="Aptos" w:hAnsi="Aptos"/>
                <w:b/>
                <w:i/>
                <w:color w:val="595959"/>
                <w:sz w:val="24"/>
                <w:szCs w:val="24"/>
              </w:rPr>
              <w:t xml:space="preserve">(delete this box before publishing)</w:t>
            </w:r>
          </w:p>
          <w:p>
            <w:pPr>
              <w:spacing w:after="140"/>
            </w:pPr>
            <w:r>
              <w:rPr>
                <w:rFonts w:ascii="Aptos" w:cs="Aptos" w:eastAsia="Aptos" w:hAnsi="Aptos"/>
                <w:i/>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i/>
                <w:sz w:val="24"/>
                <w:szCs w:val="24"/>
              </w:rPr>
              <w:t xml:space="preserve">Placeholder key: </w:t>
            </w:r>
            <w:r>
              <w:rPr>
                <w:rFonts w:ascii="Aptos" w:cs="Aptos" w:eastAsia="Aptos" w:hAnsi="Aptos"/>
                <w:b/>
                <w:i/>
                <w:sz w:val="24"/>
                <w:szCs w:val="24"/>
              </w:rPr>
              <w:t xml:space="preserve">[BRACKETED]</w:t>
            </w:r>
            <w:r>
              <w:rPr>
                <w:rFonts w:ascii="Aptos" w:cs="Aptos" w:eastAsia="Aptos" w:hAnsi="Aptos"/>
                <w:b/>
                <w:i/>
                <w:sz w:val="24"/>
                <w:szCs w:val="24"/>
              </w:rPr>
              <w:t xml:space="preserve"> = fill in   ·   </w:t>
            </w:r>
            <w:r>
              <w:rPr>
                <w:rFonts w:ascii="Aptos" w:cs="Aptos" w:eastAsia="Aptos" w:hAnsi="Aptos"/>
                <w:b/>
                <w:i/>
                <w:sz w:val="24"/>
                <w:szCs w:val="24"/>
              </w:rPr>
              <w:t xml:space="preserve">[REQUIRED]</w:t>
            </w:r>
            <w:r>
              <w:rPr>
                <w:rFonts w:ascii="Aptos" w:cs="Aptos" w:eastAsia="Aptos" w:hAnsi="Aptos"/>
                <w:b/>
                <w:i/>
                <w:sz w:val="24"/>
                <w:szCs w:val="24"/>
              </w:rPr>
              <w:t xml:space="preserve"> (bold) = required field   ·   </w:t>
            </w:r>
            <w:r>
              <w:rPr>
                <w:rFonts w:ascii="Aptos" w:cs="Aptos" w:eastAsia="Aptos" w:hAnsi="Aptos"/>
                <w:b/>
                <w:i/>
                <w:color w:val="595959"/>
                <w:sz w:val="24"/>
                <w:szCs w:val="24"/>
              </w:rPr>
              <w:t xml:space="preserve">« »</w:t>
            </w:r>
            <w:r>
              <w:rPr>
                <w:rFonts w:ascii="Aptos" w:cs="Aptos" w:eastAsia="Aptos" w:hAnsi="Aptos"/>
                <w:b/>
                <w:i/>
                <w:sz w:val="24"/>
                <w:szCs w:val="24"/>
              </w:rPr>
              <w:t xml:space="preserve"> = guidance to delete.</w:t>
            </w:r>
          </w:p>
          <w:p>
            <w:pPr>
              <w:spacing w:after="140"/>
            </w:pPr>
            <w:r>
              <w:rPr>
                <w:rFonts w:ascii="Aptos" w:cs="Aptos" w:eastAsia="Aptos" w:hAnsi="Aptos"/>
                <w:i/>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standard prescribes and the policy it implements. A Standard states what must be true; it governs behavior.»</w:t>
      </w:r>
    </w:p>
    <w:p>
      <w:pPr>
        <w:spacing w:after="120" w:before="0"/>
      </w:pPr>
      <w:r>
        <w:rPr>
          <w:rFonts w:ascii="Aptos" w:cs="Aptos" w:eastAsia="Aptos" w:hAnsi="Aptos"/>
          <w:sz w:val="24"/>
          <w:szCs w:val="24"/>
        </w:rPr>
        <w:t xml:space="preserve">This standard sets the cryptographic requirements the Agency uses to protect sensitive data at rest and in transit. It names the algorithms, protocols, and minimum key lengths that are approved and the ones that are prohibited. It implements the Encryption Policy: the Policy sets the obligation to encrypt, this standard sets how. As-built proof that these requirements are met is recorded in the Encryption Implementation Verification Records.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and who the standard binds; which systems or data it applies to.»</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systems and data stores that hold or transmit sensitive data, and the personnel and vendors who configure them.</w:t>
      </w:r>
    </w:p>
    <w:p>
      <w:pPr>
        <w:pStyle w:val="ListParagraph"/>
        <w:numPr>
          <w:ilvl w:val="0"/>
          <w:numId w:val="2"/>
        </w:numPr>
        <w:spacing w:after="60"/>
      </w:pPr>
      <w:r>
        <w:rPr>
          <w:rFonts w:ascii="Aptos" w:cs="Aptos" w:eastAsia="Aptos" w:hAnsi="Aptos"/>
          <w:b/>
          <w:sz w:val="24"/>
          <w:szCs w:val="24"/>
        </w:rPr>
        <w:t xml:space="preserve">Implements: </w:t>
      </w:r>
      <w:r>
        <w:rPr>
          <w:rFonts w:ascii="Aptos" w:cs="Aptos" w:eastAsia="Aptos" w:hAnsi="Aptos"/>
          <w:sz w:val="24"/>
          <w:szCs w:val="24"/>
        </w:rPr>
        <w:t xml:space="preserve">Encryption Policy.</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systems holding only Internal or Public data with no encryption duty. [State any local exclusions.]</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i/>
          <w:iCs/>
          <w:color w:val="595959"/>
          <w:sz w:val="24"/>
          <w:szCs w:val="24"/>
        </w:rPr>
        <w:t xml:space="preserve">«The binding requirements, as numbered statements. Each must be testable. Use “The Agency shall…”.»</w:t>
      </w:r>
    </w:p>
    <w:p>
      <w:pPr>
        <w:spacing w:after="120" w:before="0"/>
      </w:pPr>
      <w:r>
        <w:rPr>
          <w:rFonts w:ascii="Aptos" w:cs="Aptos" w:eastAsia="Aptos" w:hAnsi="Aptos"/>
          <w:sz w:val="24"/>
          <w:szCs w:val="24"/>
        </w:rPr>
        <w:t xml:space="preserve">1. Data at rest: sensitive data shall be encrypted using AES with a 256-bit key (AES-256). Full-disk or volume encryption shall protect endpoints, servers, and removable media that hold sensitive data.</w:t>
      </w:r>
    </w:p>
    <w:p>
      <w:pPr>
        <w:spacing w:after="120" w:before="0"/>
      </w:pPr>
      <w:r>
        <w:rPr>
          <w:rFonts w:ascii="Aptos" w:cs="Aptos" w:eastAsia="Aptos" w:hAnsi="Aptos"/>
          <w:sz w:val="24"/>
          <w:szCs w:val="24"/>
        </w:rPr>
        <w:t xml:space="preserve">2. Data in transit: sensitive data crossing any network the Agency does not control shall be encrypted with TLS 1.2 or higher; TLS 1.3 is preferred. Server and service certificates shall be valid, trusted, and unexpired.</w:t>
      </w:r>
    </w:p>
    <w:p>
      <w:pPr>
        <w:spacing w:after="120" w:before="0"/>
      </w:pPr>
      <w:r>
        <w:rPr>
          <w:rFonts w:ascii="Aptos" w:cs="Aptos" w:eastAsia="Aptos" w:hAnsi="Aptos"/>
          <w:sz w:val="24"/>
          <w:szCs w:val="24"/>
        </w:rPr>
        <w:t xml:space="preserve">3. Voice and real-time media: SIP signaling and RTP media carrying sensitive call content shall be encrypted (for example, SIP over TLS and SRTP) where the systems and connected providers support it.</w:t>
      </w:r>
    </w:p>
    <w:p>
      <w:pPr>
        <w:spacing w:after="120" w:before="0"/>
      </w:pPr>
      <w:r>
        <w:rPr>
          <w:rFonts w:ascii="Aptos" w:cs="Aptos" w:eastAsia="Aptos" w:hAnsi="Aptos"/>
          <w:sz w:val="24"/>
          <w:szCs w:val="24"/>
        </w:rPr>
        <w:t xml:space="preserve">4. Validated modules: cryptography that protects CJIS-regulated data shall use FIPS 140-2 or FIPS 140-3 validated modules, per CJIS Security Policy v5.9 §5.10.1.2.</w:t>
      </w:r>
    </w:p>
    <w:p>
      <w:pPr>
        <w:spacing w:after="120" w:before="0"/>
      </w:pPr>
      <w:r>
        <w:rPr>
          <w:rFonts w:ascii="Aptos" w:cs="Aptos" w:eastAsia="Aptos" w:hAnsi="Aptos"/>
          <w:sz w:val="24"/>
          <w:szCs w:val="24"/>
        </w:rPr>
        <w:t xml:space="preserve">5. Key strength: symmetric keys shall be at least 256-bit; RSA keys at least 2048-bit; elliptic-curve keys at least 256-bit; hashing shall use SHA-256 or stronger.</w:t>
      </w:r>
    </w:p>
    <w:p>
      <w:pPr>
        <w:spacing w:after="120" w:before="0"/>
      </w:pPr>
      <w:r>
        <w:rPr>
          <w:rFonts w:ascii="Aptos" w:cs="Aptos" w:eastAsia="Aptos" w:hAnsi="Aptos"/>
          <w:sz w:val="24"/>
          <w:szCs w:val="24"/>
        </w:rPr>
        <w:t xml:space="preserve">6. Prohibited cryptography: the algorithms and protocols listed as Prohibited below shall not be used, and deprecated protocols and weak ciphers shall be disabled on every system in scope.</w:t>
      </w:r>
    </w:p>
    <w:p>
      <w:pPr>
        <w:spacing w:after="120" w:before="0"/>
      </w:pPr>
      <w:r>
        <w:rPr>
          <w:rFonts w:ascii="Aptos" w:cs="Aptos" w:eastAsia="Aptos" w:hAnsi="Aptos"/>
          <w:sz w:val="24"/>
          <w:szCs w:val="24"/>
        </w:rPr>
        <w:t xml:space="preserve">7. Key management: keys and certificates supporting these algorithms are generated, stored, rotated, and revoked under the Key &amp; Certificate Management Policy.</w:t>
      </w:r>
    </w:p>
    <w:p>
      <w:pPr>
        <w:spacing w:after="120" w:before="0"/>
      </w:pPr>
      <w:r>
        <w:rPr>
          <w:rFonts w:ascii="Aptos" w:cs="Aptos" w:eastAsia="Aptos" w:hAnsi="Aptos"/>
          <w:sz w:val="24"/>
          <w:szCs w:val="24"/>
        </w:rPr>
        <w:t xml:space="preserve">8. Validation: the Agency shall test that approved cryptography is in use and prohibited cryptography is disabled, and record the result in the Encryption Implementation Verification Records.</w:t>
      </w:r>
    </w:p>
    <w:p>
      <w:pPr>
        <w:pStyle w:val="Heading2"/>
        <w:spacing w:after="100" w:before="220"/>
      </w:pPr>
      <w:r>
        <w:rPr>
          <w:rFonts w:ascii="Aptos" w:cs="Aptos" w:eastAsia="Aptos" w:hAnsi="Aptos"/>
          <w:b/>
          <w:bCs/>
          <w:color w:val="1B3A5C"/>
          <w:sz w:val="26"/>
          <w:szCs w:val="26"/>
        </w:rPr>
        <w:t xml:space="preserve">4. Approved and Prohibited</w:t>
      </w:r>
    </w:p>
    <w:p>
      <w:pPr>
        <w:spacing w:after="140"/>
      </w:pPr>
      <w:r>
        <w:rPr>
          <w:rFonts w:ascii="Aptos" w:cs="Aptos" w:eastAsia="Aptos" w:hAnsi="Aptos"/>
          <w:i/>
          <w:iCs/>
          <w:color w:val="595959"/>
          <w:sz w:val="24"/>
          <w:szCs w:val="24"/>
        </w:rPr>
        <w:t xml:space="preserve">«The concrete allow/deny lists this standard sets (e.g., approved algorithms, prohibited protocols). Keep the as-built evidence in the matching Configuration Record,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gridCol w:w="4680"/>
      </w:tblGrid>
      <w:tr>
        <w:trPr>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Category</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Prohibited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Symmetric 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AES-256 (GCM or CBC)</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 3DES, RC4, Blowfish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Key exchange and signatures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2048-bit or larger; ECDH or ECDSA 256-bit or larger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smaller than 2048-bit; static or anonymous Diffie-Hellman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Hashing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SHA-256, SHA-384, SHA-512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MD5, SHA-1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Transport (TLS)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TLS 1.2, TLS 1.3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SSL 2.0, SSL 3.0, TLS 1.0, TLS 1.1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Voice and real-time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SIP over TLS, SRTP with AES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Unencrypted SIP or RTP for sensitive call content</w:t>
            </w:r>
          </w:p>
        </w:tc>
      </w:tr>
    </w:tbl>
    <w:p>
      <w:pPr>
        <w:pStyle w:val="Heading2"/>
        <w:spacing w:after="100" w:before="220"/>
      </w:pPr>
      <w:r>
        <w:rPr>
          <w:rFonts w:ascii="Aptos" w:cs="Aptos" w:eastAsia="Aptos" w:hAnsi="Aptos"/>
          <w:b/>
          <w:bCs/>
          <w:color w:val="1B3A5C"/>
          <w:sz w:val="26"/>
          <w:szCs w:val="26"/>
        </w:rPr>
        <w:t xml:space="preserve">5. Deviation Process</w:t>
      </w:r>
    </w:p>
    <w:p>
      <w:pPr>
        <w:spacing w:after="140"/>
      </w:pPr>
      <w:r>
        <w:rPr>
          <w:rFonts w:ascii="Aptos" w:cs="Aptos" w:eastAsia="Aptos" w:hAnsi="Aptos"/>
          <w:i/>
          <w:iCs/>
          <w:color w:val="595959"/>
          <w:sz w:val="24"/>
          <w:szCs w:val="24"/>
        </w:rPr>
        <w:t xml:space="preserve">«Who may approve a deviation, how it is requested and recorded, and how long it lasts before review.»</w:t>
      </w:r>
    </w:p>
    <w:p>
      <w:pPr>
        <w:spacing w:after="120" w:before="0"/>
      </w:pPr>
      <w:r>
        <w:rPr>
          <w:rFonts w:ascii="Aptos" w:cs="Aptos" w:eastAsia="Aptos" w:hAnsi="Aptos"/>
          <w:sz w:val="24"/>
          <w:szCs w:val="24"/>
        </w:rPr>
        <w:t xml:space="preserve">A deviation (for example, a legacy system that cannot meet a requirement) requires written approval from the [Director / Coordinator], a stated compensating control, and a recorded review date. Deviations are tracked in the Risk / Finding Register and expire on the review date unless renewed.</w:t>
      </w:r>
    </w:p>
    <w:p>
      <w:pPr>
        <w:pStyle w:val="Heading2"/>
        <w:spacing w:after="100" w:before="220"/>
      </w:pPr>
      <w:r>
        <w:rPr>
          <w:rFonts w:ascii="Aptos" w:cs="Aptos" w:eastAsia="Aptos" w:hAnsi="Aptos"/>
          <w:b/>
          <w:bCs/>
          <w:color w:val="1B3A5C"/>
          <w:sz w:val="26"/>
          <w:szCs w:val="26"/>
        </w:rPr>
        <w:t xml:space="preserve">6.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sz w:val="24"/>
          <w:szCs w:val="24"/>
        </w:rPr>
        <w:t xml:space="preserve">This standard is reviewed at least annually and whenever a cryptographic algorithm or protocol it lists is deprecated or strengthened,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 what your platforms already provide: AES-256 full-disk encryption, TLS 1.2 or higher for anything leaving the network, and current operating systems that disable old ciphers by default. County or vendor IT confirms the prohibited protocols are off.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IT sets these values as the configuration baseline across systems, turns off deprecated ciphers, and checks them at each periodic review.</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Enforce the approved and prohibited lists through managed configuration and automated scanning, with exceptions tracked centrally.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§6.22, §6.23, §6.23.4, §6.23.6, §6.23.7</w:t>
            </w:r>
          </w:p>
          <w:p>
            <w:pPr>
              <w:spacing w:after="40" w:before="0"/>
            </w:pPr>
            <w:r>
              <w:rPr>
                <w:rFonts w:ascii="Aptos" w:cs="Aptos" w:eastAsia="Aptos" w:hAnsi="Aptos"/>
                <w:i/>
                <w:sz w:val="24"/>
                <w:szCs w:val="24"/>
              </w:rPr>
              <w:t xml:space="preserve">NIST SP 800-53 Rev. 5: IA-7,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(FIPS-validated cryptography for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sz w:val="24"/>
                <w:szCs w:val="24"/>
              </w:rPr>
              <w:t xml:space="preserve">Drafter’s note (internal, delete before publishing): </w:t>
            </w:r>
            <w:r>
              <w:rPr>
                <w:rFonts w:ascii="Aptos" w:cs="Aptos" w:eastAsia="Aptos" w:hAnsi="Aptos"/>
                <w:sz w:val="24"/>
                <w:szCs w:val="24"/>
              </w:rPr>
              <w:t xml:space="preserve">The Agency fills [Agency Name], version, dates, and the Owner role. Confirm CJIS applicability: keep the / CJIS marker and the FIPS-validated-module requirement only if the Agency stores or transmits CJIS-regulated data on systems it controls. Key generation, custody, and rotation are governed by the Key &amp; Certificate Management Policy, not restated here. As-built proof of conformance is recorded in the Encryption Implementation Verification Records.</w:t>
            </w:r>
          </w:p>
          <w:p>
            <w:pPr>
              <w:spacing w:after="140"/>
            </w:pPr>
            <w:r>
              <w:rPr>
                <w:rFonts w:ascii="Aptos" w:cs="Aptos" w:eastAsia="Aptos" w:hAnsi="Aptos"/>
                <w:i/>
                <w:iCs/>
                <w:color w:val="595959"/>
                <w:sz w:val="24"/>
                <w:szCs w:val="24"/>
              </w:rPr>
              <w:t xml:space="preserve">List any [BRACKETED] field whose value could not be determined from project context, and any decision that needs confirmation before this artifact is finalized.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2026-06-01T15:29:11.465Z</dcterms:created>
  <dcterms:modified xsi:type="dcterms:W3CDTF">2026-06-01T15:29:11.465Z</dcterms:modified>
</cp:coreProperties>
</file>

<file path=docProps/custom.xml><?xml version="1.0" encoding="utf-8"?>
<Properties xmlns="http://schemas.openxmlformats.org/officeDocument/2006/custom-properties" xmlns:vt="http://schemas.openxmlformats.org/officeDocument/2006/docPropsVTypes"/>
</file>