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Configuration Record artifacts. Stays Restricted in nearly all cases; these records reveal active security settings. Raise to Confidential only if a named custodian creates personal security risk.»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«This record documents the approved baseline, the configuration that should be true, for each system type. The as-built state and any drift from this baseline are recorded in the Configuration Drift Detection Records.»</w:t>
      </w:r>
    </w:p>
    <w:p>
      <w:pPr>
        <w:spacing w:after="120" w:before="0"/>
      </w:pPr>
      <w:r>
        <w:rPr>
          <w:rFonts w:ascii="Aptos" w:cs="Aptos" w:eastAsia="Aptos" w:hAnsi="Aptos"/>
          <w:b w:val="false"/>
          <w:bCs w:val="false"/>
          <w:i w:val="false"/>
          <w:iCs w:val="false"/>
          <w:sz w:val="24"/>
          <w:szCs w:val="24"/>
        </w:rPr>
        <w:t>This record documents [Agency Name]'s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p>
      <w:pPr>
        <w:spacing w:after="140"/>
      </w:pPr>
      <w:r>
        <w:rPr>
          <w:rFonts w:ascii="Aptos" w:cs="Aptos" w:eastAsia="Aptos" w:hAnsi="Aptos"/>
          <w:i/>
          <w:iCs/>
          <w:color w:val="595959"/>
          <w:sz w:val="24"/>
          <w:szCs w:val="24"/>
        </w:rPr>
        <w:t>«List the system types this baseline set covers. Tie each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p>
      <w:pPr>
        <w:spacing w:after="140"/>
      </w:pPr>
      <w:r>
        <w:rPr>
          <w:rFonts w:ascii="Aptos" w:cs="Aptos" w:eastAsia="Aptos" w:hAnsi="Aptos"/>
          <w:i/>
          <w:iCs/>
          <w:color w:val="595959"/>
          <w:sz w:val="24"/>
          <w:szCs w:val="24"/>
        </w:rPr>
        <w:t>«One row per setting, grouped by system type. Record the approved value and whether it deliberately deviates from the vendor default.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password rules]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open/closed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 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4. Network Zones and ACLs</w:t>
      </w:r>
    </w:p>
    <w:p>
      <w:pPr>
        <w:spacing w:after="140"/>
      </w:pPr>
      <w:r>
        <w:rPr>
          <w:rFonts w:ascii="Aptos" w:cs="Aptos" w:eastAsia="Aptos" w:hAnsi="Aptos"/>
          <w:i/>
          <w:iCs/>
          <w:color w:val="595959"/>
          <w:sz w:val="24"/>
          <w:szCs w:val="24"/>
        </w:rPr>
        <w:t>«Document the network zones, VLANs, and firewall/ACL rules that are part of the baseline and change-controlled (assessment 5A-5).»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 e.g., 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[quarterly] and after any change, by the [Owner role].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handful of baselines kept as written documents: one for workstations, one for servers, one for the network and telephony gear. County or vendor IT sets them from vendor hardening guides and the director keeps them current.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 baseline per system type and pushes settings where it can (for example, Group Policy for workstations). Baselines are reviewed on a set cycle and after major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Baselines are managed through a configuration-management tool, version-controlled and enforced automatically, with drift surfaced through the drift records.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reviewer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Documents the approved baseline (the should-be) per system type; the as-built state and drift live in the Configuration Drift Detection Records. SBC consoles are carried as a system type with account-lockout settings (assessment 2E-3). Confirm before finalizing: (1) the system types in scope for this agency; (2) the [Owner role] and validation cadence. No CJIS overlay: CJIS-regulated systems are maintained by the State outside PSAP scope. Cross-referenced artifacts use Tracker names: Change Management Policy, Configuration Drift Detection Records, Master Asset Inventory, Network Segmentation Design Document.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