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 xml:space="preserve">Emergency Change Procedures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w:t>
            </w:r>
            <w:r>
              <w:rPr>
                <w:rFonts w:ascii="Aptos" w:cs="Aptos" w:eastAsia="Aptos" w:hAnsi="Aptos"/>
                <w:b w:val="false"/>
                <w:bCs w:val="false"/>
                <w:i w:val="false"/>
                <w:iCs w:val="false"/>
                <w:sz w:val="24"/>
                <w:szCs w:val="24"/>
              </w:rPr>
              <w:t xml:space="preserve">Adopted by </w:t>
            </w:r>
            <w:r>
              <w:rPr>
                <w:rFonts w:ascii="Aptos" w:cs="Aptos" w:eastAsia="Aptos" w:hAnsi="Aptos"/>
                <w:b/>
                <w:bCs/>
                <w:i w:val="false"/>
                <w:iCs w:val="false"/>
                <w:sz w:val="24"/>
                <w:szCs w:val="24"/>
              </w:rPr>
              <w:t xml:space="preserve">[Agency Name]</w:t>
            </w:r>
            <w:r>
              <w:rPr>
                <w:rFonts w:ascii="Aptos" w:cs="Aptos" w:eastAsia="Aptos" w:hAnsi="Aptos"/>
                <w:b w:val="false"/>
                <w:bCs w:val="false"/>
                <w:i w:val="false"/>
                <w:iCs w:val="false"/>
                <w:sz w:val="24"/>
                <w:szCs w:val="24"/>
              </w:rPr>
              <w:t xml:space="preserve"> under the authority of </w:t>
            </w:r>
            <w:r>
              <w:rPr>
                <w:rFonts w:ascii="Aptos" w:cs="Aptos" w:eastAsia="Aptos" w:hAnsi="Aptos"/>
                <w:b/>
                <w:bCs/>
                <w:i w:val="false"/>
                <w:iCs w:val="false"/>
                <w:sz w:val="24"/>
                <w:szCs w:val="24"/>
              </w:rPr>
              <w:t xml:space="preserve">[signing official / title]</w:t>
            </w:r>
            <w:r>
              <w:rPr>
                <w:rFonts w:ascii="Aptos" w:cs="Aptos" w:eastAsia="Aptos" w:hAnsi="Aptos"/>
                <w:b w:val="false"/>
                <w:bCs w:val="false"/>
                <w:i w:val="false"/>
                <w:iCs w:val="false"/>
                <w:sz w:val="24"/>
                <w:szCs w:val="24"/>
              </w:rPr>
              <w:t xml:space="preserve">.</w:t>
            </w:r>
          </w:p>
          <w:p>
            <w:pPr>
              <w:spacing w:after="60"/>
            </w:pPr>
            <w:r>
              <w:rPr>
                <w:rFonts w:ascii="Aptos" w:cs="Aptos" w:eastAsia="Aptos" w:hAnsi="Aptos"/>
                <w:b/>
                <w:bCs/>
                <w:i w:val="false"/>
                <w:iCs w:val="false"/>
                <w:sz w:val="24"/>
                <w:szCs w:val="24"/>
              </w:rPr>
              <w:t xml:space="preserve">Version: </w:t>
            </w:r>
            <w:r>
              <w:rPr>
                <w:rFonts w:ascii="Aptos" w:cs="Aptos" w:eastAsia="Aptos" w:hAnsi="Aptos"/>
                <w:b w:val="false"/>
                <w:bCs w:val="false"/>
                <w:i w:val="false"/>
                <w:iCs w:val="false"/>
                <w:sz w:val="24"/>
                <w:szCs w:val="24"/>
              </w:rPr>
              <w:t xml:space="preserve">[#]    </w:t>
            </w:r>
            <w:r>
              <w:rPr>
                <w:rFonts w:ascii="Aptos" w:cs="Aptos" w:eastAsia="Aptos" w:hAnsi="Aptos"/>
                <w:b/>
                <w:bCs/>
                <w:i w:val="false"/>
                <w:iCs w:val="false"/>
                <w:sz w:val="24"/>
                <w:szCs w:val="24"/>
              </w:rPr>
              <w:t xml:space="preserve">Effective Date: </w:t>
            </w:r>
            <w:r>
              <w:rPr>
                <w:rFonts w:ascii="Aptos" w:cs="Aptos" w:eastAsia="Aptos" w:hAnsi="Aptos"/>
                <w:b w:val="false"/>
                <w:bCs w:val="false"/>
                <w:i w:val="false"/>
                <w:iCs w:val="false"/>
                <w:sz w:val="24"/>
                <w:szCs w:val="24"/>
              </w:rPr>
              <w:t xml:space="preserve">[Date]    </w:t>
            </w:r>
            <w:r>
              <w:rPr>
                <w:rFonts w:ascii="Aptos" w:cs="Aptos" w:eastAsia="Aptos" w:hAnsi="Aptos"/>
                <w:b/>
                <w:bCs/>
                <w:i w:val="false"/>
                <w:iCs w:val="false"/>
                <w:sz w:val="24"/>
                <w:szCs w:val="24"/>
              </w:rPr>
              <w:t xml:space="preserve">Next Review: </w:t>
            </w:r>
            <w:r>
              <w:rPr>
                <w:rFonts w:ascii="Aptos" w:cs="Aptos" w:eastAsia="Aptos" w:hAnsi="Aptos"/>
                <w:b w:val="false"/>
                <w:bCs w:val="false"/>
                <w:i w:val="false"/>
                <w:iCs w:val="false"/>
                <w:sz w:val="24"/>
                <w:szCs w:val="24"/>
              </w:rPr>
              <w:t xml:space="preserve">[Date]</w:t>
            </w:r>
          </w:p>
          <w:p>
            <w:pPr>
              <w:spacing w:after="60"/>
            </w:pPr>
            <w:r>
              <w:rPr>
                <w:rFonts w:ascii="Aptos" w:cs="Aptos" w:eastAsia="Aptos" w:hAnsi="Aptos"/>
                <w:b/>
                <w:bCs/>
                <w:i w:val="false"/>
                <w:iCs w:val="false"/>
                <w:sz w:val="24"/>
                <w:szCs w:val="24"/>
              </w:rPr>
              <w:t xml:space="preserve">Owner: </w:t>
            </w:r>
            <w:r>
              <w:rPr>
                <w:rFonts w:ascii="Aptos" w:cs="Aptos" w:eastAsia="Aptos" w:hAnsi="Aptos"/>
                <w:b w:val="false"/>
                <w:bCs w:val="false"/>
                <w:i w:val="false"/>
                <w:iCs w:val="false"/>
                <w:sz w:val="24"/>
                <w:szCs w:val="24"/>
              </w:rPr>
              <w:t xml:space="preserve">[IT Support Lead]   </w:t>
            </w:r>
            <w:r>
              <w:rPr>
                <w:rFonts w:ascii="Aptos" w:cs="Aptos" w:eastAsia="Aptos" w:hAnsi="Aptos"/>
                <w:b w:val="false"/>
                <w:bCs w:val="false"/>
                <w:i/>
                <w:iCs/>
                <w:color w:val="595959"/>
                <w:sz w:val="24"/>
                <w:szCs w:val="24"/>
              </w:rPr>
              <w:t xml:space="preserve">«use a role, not a person’s name.»</w:t>
            </w:r>
          </w:p>
          <w:p>
            <w:pPr>
              <w:spacing w:after="20"/>
            </w:pPr>
            <w:r>
              <w:rPr>
                <w:rFonts w:ascii="Aptos" w:cs="Aptos" w:eastAsia="Aptos" w:hAnsi="Aptos"/>
                <w:b/>
                <w:bCs/>
                <w:i w:val="false"/>
                <w:iCs w:val="false"/>
                <w:sz w:val="24"/>
                <w:szCs w:val="24"/>
              </w:rPr>
              <w:t xml:space="preserve">Classification: </w:t>
            </w:r>
            <w:r>
              <w:rPr>
                <w:rFonts w:ascii="Aptos" w:cs="Aptos" w:eastAsia="Aptos" w:hAnsi="Aptos"/>
                <w:b w:val="false"/>
                <w:bCs w:val="false"/>
                <w:i w:val="false"/>
                <w:iCs w:val="false"/>
                <w:sz w:val="24"/>
                <w:szCs w:val="24"/>
              </w:rPr>
              <w:t xml:space="preserve">Internal</w:t>
            </w:r>
          </w:p>
          <w:p>
            <w:pPr>
              <w:spacing w:after="0"/>
            </w:pPr>
            <w:r>
              <w:rPr>
                <w:rFonts w:ascii="Aptos" w:cs="Aptos" w:eastAsia="Aptos" w:hAnsi="Aptos"/>
                <w:i/>
                <w:iCs/>
                <w:color w:val="595959"/>
                <w:sz w:val="24"/>
                <w:szCs w:val="24"/>
              </w:rPr>
              <w:t xml:space="preserve">« Minimum for this artifact: an expedited process, not defensive configuration. Your agency may raise but not lower it. »</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color w:val="1B3A5C"/>
                <w:sz w:val="24"/>
                <w:szCs w:val="24"/>
              </w:rPr>
              <w:t xml:space="preserve">How to use this template </w:t>
            </w:r>
            <w:r>
              <w:rPr>
                <w:rFonts w:ascii="Aptos" w:cs="Aptos" w:eastAsia="Aptos" w:hAnsi="Aptos"/>
                <w:color w:val="595959"/>
                <w:sz w:val="24"/>
                <w:szCs w:val="24"/>
              </w:rPr>
              <w:t xml:space="preserve">(delete this box before publishing)</w:t>
            </w:r>
          </w:p>
          <w:p>
            <w:pPr>
              <w:spacing w:after="140"/>
            </w:pPr>
            <w:r>
              <w:rPr>
                <w:rFonts w:ascii="Aptos" w:cs="Aptos" w:eastAsia="Aptos" w:hAnsi="Aptos"/>
                <w:sz w:val="24"/>
                <w:szCs w:val="24"/>
              </w:rPr>
              <w:t xml:space="preserve">This template is ready to adopt. Replace every [BRACKETED] field with your agency's information, follow the « » guidance notes, and delete every « » note and this box before you publish.</w:t>
            </w:r>
          </w:p>
          <w:p>
            <w:pPr>
              <w:spacing w:after="0"/>
            </w:pPr>
            <w:r>
              <w:rPr>
                <w:rFonts w:ascii="Aptos" w:cs="Aptos" w:eastAsia="Aptos" w:hAnsi="Aptos"/>
                <w:sz w:val="24"/>
                <w:szCs w:val="24"/>
              </w:rPr>
              <w:t xml:space="preserve">Placeholder key: [BRACKETED] = fill in   ·   [REQUIRED] (bold) = required field   ·   « » = guidance to delete.</w:t>
            </w:r>
          </w:p>
          <w:p>
            <w:pPr>
              <w:spacing w:after="140"/>
            </w:pPr>
            <w:r>
              <w:rPr>
                <w:rFonts w:ascii="Aptos" w:cs="Aptos" w:eastAsia="Aptos" w:hAnsi="Aptos"/>
                <w:sz w:val="24"/>
                <w:szCs w:val="24"/>
              </w:rPr>
              <w:t xml:space="preserve">Keep the body director-readable. Push technical detail and contact lists to an appendix. Source Authority, approval signatures, and revision history stay at the foot of the document.</w:t>
            </w:r>
          </w:p>
        </w:tc>
      </w:tr>
    </w:tbl>
    <w:p>
      <w:pPr>
        <w:pStyle w:val="Heading2"/>
        <w:spacing w:after="100" w:before="220"/>
      </w:pPr>
      <w:r>
        <w:rPr>
          <w:rFonts w:ascii="Aptos" w:cs="Aptos" w:eastAsia="Aptos" w:hAnsi="Aptos"/>
          <w:b/>
          <w:bCs/>
          <w:color w:val="1B3A5C"/>
          <w:sz w:val="26"/>
          <w:szCs w:val="26"/>
        </w:rPr>
        <w:t xml:space="preserve">1. Purpose</w:t>
      </w:r>
    </w:p>
    <w:p>
      <w:pPr>
        <w:spacing w:after="140"/>
      </w:pPr>
      <w:r>
        <w:rPr>
          <w:rFonts w:ascii="Aptos" w:cs="Aptos" w:eastAsia="Aptos" w:hAnsi="Aptos"/>
          <w:i/>
          <w:iCs/>
          <w:color w:val="595959"/>
          <w:sz w:val="24"/>
          <w:szCs w:val="24"/>
        </w:rPr>
        <w:t xml:space="preserve">«What this procedure accomplishes and when it is performed. One or two sentences.»</w:t>
      </w:r>
    </w:p>
    <w:p>
      <w:pPr>
        <w:spacing w:after="120" w:before="0"/>
      </w:pPr>
      <w:r>
        <w:rPr>
          <w:rFonts w:ascii="Aptos" w:cs="Aptos" w:eastAsia="Aptos" w:hAnsi="Aptos"/>
          <w:b w:val="false"/>
          <w:bCs w:val="false"/>
          <w:i w:val="false"/>
          <w:iCs w:val="false"/>
          <w:sz w:val="24"/>
          <w:szCs w:val="24"/>
        </w:rPr>
        <w:t xml:space="preserve">This procedure sets the expedited path for a critical change or patch that cannot wait for the normal change cycle. It names who may authorize an emergency change, what must be documented at the time, and how the change is reconciled back into change management afterward.</w:t>
      </w:r>
    </w:p>
    <w:p>
      <w:pPr>
        <w:pStyle w:val="Heading2"/>
        <w:spacing w:after="100" w:before="220"/>
      </w:pPr>
      <w:r>
        <w:rPr>
          <w:rFonts w:ascii="Aptos" w:cs="Aptos" w:eastAsia="Aptos" w:hAnsi="Aptos"/>
          <w:b/>
          <w:bCs/>
          <w:color w:val="1B3A5C"/>
          <w:sz w:val="26"/>
          <w:szCs w:val="26"/>
        </w:rPr>
        <w:t xml:space="preserve">2. Scope</w:t>
      </w:r>
    </w:p>
    <w:p>
      <w:pPr>
        <w:spacing w:after="140"/>
      </w:pPr>
      <w:r>
        <w:rPr>
          <w:rFonts w:ascii="Aptos" w:cs="Aptos" w:eastAsia="Aptos" w:hAnsi="Aptos"/>
          <w:i/>
          <w:iCs/>
          <w:color w:val="595959"/>
          <w:sz w:val="24"/>
          <w:szCs w:val="24"/>
        </w:rPr>
        <w:t xml:space="preserve">«What the procedure covers and excludes; which systems or roles it applies to.»</w:t>
      </w:r>
    </w:p>
    <w:p>
      <w:pPr>
        <w:pStyle w:val="ListParagraph"/>
        <w:numPr>
          <w:ilvl w:val="0"/>
          <w:numId w:val="2"/>
        </w:numPr>
        <w:spacing w:after="60"/>
      </w:pPr>
      <w:r>
        <w:rPr>
          <w:rFonts w:ascii="Aptos" w:cs="Aptos" w:eastAsia="Aptos" w:hAnsi="Aptos"/>
          <w:b w:val="false"/>
          <w:bCs w:val="false"/>
          <w:i w:val="false"/>
          <w:iCs w:val="false"/>
          <w:sz w:val="24"/>
          <w:szCs w:val="24"/>
        </w:rPr>
        <w:t xml:space="preserve">Applies to: [IT support and the authorizing official]</w:t>
      </w:r>
    </w:p>
    <w:p>
      <w:pPr>
        <w:pStyle w:val="ListParagraph"/>
        <w:numPr>
          <w:ilvl w:val="0"/>
          <w:numId w:val="2"/>
        </w:numPr>
        <w:spacing w:after="60"/>
      </w:pPr>
      <w:r>
        <w:rPr>
          <w:rFonts w:ascii="Aptos" w:cs="Aptos" w:eastAsia="Aptos" w:hAnsi="Aptos"/>
          <w:b w:val="false"/>
          <w:bCs w:val="false"/>
          <w:i w:val="false"/>
          <w:iCs w:val="false"/>
          <w:sz w:val="24"/>
          <w:szCs w:val="24"/>
        </w:rPr>
        <w:t xml:space="preserve">Covers: critical changes or patches that cannot wait for the normal change cycle, for example an active incident, an imminent outage, or a critical security patch</w:t>
      </w:r>
    </w:p>
    <w:p>
      <w:pPr>
        <w:pStyle w:val="ListParagraph"/>
        <w:numPr>
          <w:ilvl w:val="0"/>
          <w:numId w:val="2"/>
        </w:numPr>
        <w:spacing w:after="60"/>
      </w:pPr>
      <w:r>
        <w:rPr>
          <w:rFonts w:ascii="Aptos" w:cs="Aptos" w:eastAsia="Aptos" w:hAnsi="Aptos"/>
          <w:b w:val="false"/>
          <w:bCs w:val="false"/>
          <w:i w:val="false"/>
          <w:iCs w:val="false"/>
          <w:sz w:val="24"/>
          <w:szCs w:val="24"/>
        </w:rPr>
        <w:t xml:space="preserve">Excludes: routine changes and standing exceptions, which follow the Change Management Policy</w:t>
      </w:r>
    </w:p>
    <w:p>
      <w:pPr>
        <w:pStyle w:val="Heading2"/>
        <w:spacing w:after="100" w:before="220"/>
      </w:pPr>
      <w:r>
        <w:rPr>
          <w:rFonts w:ascii="Aptos" w:cs="Aptos" w:eastAsia="Aptos" w:hAnsi="Aptos"/>
          <w:b/>
          <w:bCs/>
          <w:color w:val="1B3A5C"/>
          <w:sz w:val="26"/>
          <w:szCs w:val="26"/>
        </w:rPr>
        <w:t xml:space="preserve">3. Prerequisites</w:t>
      </w:r>
    </w:p>
    <w:p>
      <w:pPr>
        <w:spacing w:after="140"/>
      </w:pPr>
      <w:r>
        <w:rPr>
          <w:rFonts w:ascii="Aptos" w:cs="Aptos" w:eastAsia="Aptos" w:hAnsi="Aptos"/>
          <w:i/>
          <w:iCs/>
          <w:color w:val="595959"/>
          <w:sz w:val="24"/>
          <w:szCs w:val="24"/>
        </w:rPr>
        <w:t xml:space="preserve">«What must be true or in hand before starting: access, tools, approvals, prior steps.»</w:t>
      </w:r>
    </w:p>
    <w:p>
      <w:pPr>
        <w:pStyle w:val="ListParagraph"/>
        <w:numPr>
          <w:ilvl w:val="0"/>
          <w:numId w:val="3"/>
        </w:numPr>
        <w:spacing w:after="60"/>
      </w:pPr>
      <w:r>
        <w:rPr>
          <w:rFonts w:ascii="Aptos" w:cs="Aptos" w:eastAsia="Aptos" w:hAnsi="Aptos"/>
          <w:b w:val="false"/>
          <w:bCs w:val="false"/>
          <w:i w:val="false"/>
          <w:iCs w:val="false"/>
          <w:sz w:val="24"/>
          <w:szCs w:val="24"/>
        </w:rPr>
        <w:t xml:space="preserve">The Change Management Policy and its definition of change types</w:t>
      </w:r>
    </w:p>
    <w:p>
      <w:pPr>
        <w:pStyle w:val="ListParagraph"/>
        <w:numPr>
          <w:ilvl w:val="0"/>
          <w:numId w:val="3"/>
        </w:numPr>
        <w:spacing w:after="60"/>
      </w:pPr>
      <w:r>
        <w:rPr>
          <w:rFonts w:ascii="Aptos" w:cs="Aptos" w:eastAsia="Aptos" w:hAnsi="Aptos"/>
          <w:b w:val="false"/>
          <w:bCs w:val="false"/>
          <w:i w:val="false"/>
          <w:iCs w:val="false"/>
          <w:sz w:val="24"/>
          <w:szCs w:val="24"/>
        </w:rPr>
        <w:t xml:space="preserve">A reachable emergency authorizer, the director or IT lead, at all times</w:t>
      </w:r>
    </w:p>
    <w:p>
      <w:pPr>
        <w:pStyle w:val="ListParagraph"/>
        <w:numPr>
          <w:ilvl w:val="0"/>
          <w:numId w:val="3"/>
        </w:numPr>
        <w:spacing w:after="60"/>
      </w:pPr>
      <w:r>
        <w:rPr>
          <w:rFonts w:ascii="Aptos" w:cs="Aptos" w:eastAsia="Aptos" w:hAnsi="Aptos"/>
          <w:b w:val="false"/>
          <w:bCs w:val="false"/>
          <w:i w:val="false"/>
          <w:iCs w:val="false"/>
          <w:sz w:val="24"/>
          <w:szCs w:val="24"/>
        </w:rPr>
        <w:t xml:space="preserve">Access to the Change Request &amp; Approval Log for reconciliation</w:t>
      </w:r>
    </w:p>
    <w:p>
      <w:pPr>
        <w:pStyle w:val="Heading2"/>
        <w:spacing w:after="100" w:before="220"/>
      </w:pPr>
      <w:r>
        <w:rPr>
          <w:rFonts w:ascii="Aptos" w:cs="Aptos" w:eastAsia="Aptos" w:hAnsi="Aptos"/>
          <w:b/>
          <w:bCs/>
          <w:color w:val="1B3A5C"/>
          <w:sz w:val="26"/>
          <w:szCs w:val="26"/>
        </w:rPr>
        <w:t xml:space="preserve">4. Procedure Steps</w:t>
      </w:r>
    </w:p>
    <w:p>
      <w:pPr>
        <w:spacing w:after="140"/>
      </w:pPr>
      <w:r>
        <w:rPr>
          <w:rFonts w:ascii="Aptos" w:cs="Aptos" w:eastAsia="Aptos" w:hAnsi="Aptos"/>
          <w:i/>
          <w:iCs/>
          <w:color w:val="595959"/>
          <w:sz w:val="24"/>
          <w:szCs w:val="24"/>
        </w:rPr>
        <w:t xml:space="preserve">«Steps in execution order. One action per step. Name the responsible role per step. Plain English.»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80"/>
        <w:gridCol w:w="6280"/>
        <w:gridCol w:w="2000"/>
      </w:tblGrid>
      <w:tr>
        <w:trPr>
          <w:tblHeader/>
        </w:trPr>
        <w:tc>
          <w:tcPr>
            <w:tcW w:type="dxa" w:w="108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Step</w:t>
            </w:r>
          </w:p>
        </w:tc>
        <w:tc>
          <w:tcPr>
            <w:tcW w:type="dxa" w:w="628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Action</w:t>
            </w:r>
          </w:p>
        </w:tc>
        <w:tc>
          <w:tcPr>
            <w:tcW w:type="dxa" w:w="2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Responsible role</w:t>
            </w:r>
          </w:p>
        </w:tc>
      </w:tr>
      <w:tr>
        <w:tc>
          <w:tcPr>
            <w:tcW w:type="dxa" w:w="1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1</w:t>
            </w:r>
          </w:p>
        </w:tc>
        <w:tc>
          <w:tcPr>
            <w:tcW w:type="dxa" w:w="62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Confirm the change meets the emergency threshold: critical patch, active incident, or imminent outage</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[Requestor / IT support]</w:t>
            </w:r>
          </w:p>
        </w:tc>
      </w:tr>
      <w:tr>
        <w:tc>
          <w:tcPr>
            <w:tcW w:type="dxa" w:w="1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2</w:t>
            </w:r>
          </w:p>
        </w:tc>
        <w:tc>
          <w:tcPr>
            <w:tcW w:type="dxa" w:w="62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Obtain expedited authorization from the [emergency authorizer]</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 / IT lead]</w:t>
            </w:r>
          </w:p>
        </w:tc>
      </w:tr>
      <w:tr>
        <w:tc>
          <w:tcPr>
            <w:tcW w:type="dxa" w:w="1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3</w:t>
            </w:r>
          </w:p>
        </w:tc>
        <w:tc>
          <w:tcPr>
            <w:tcW w:type="dxa" w:w="62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Record the minimum documentation now: what is changing, why, and who authorized it</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support]</w:t>
            </w:r>
          </w:p>
        </w:tc>
      </w:tr>
      <w:tr>
        <w:tc>
          <w:tcPr>
            <w:tcW w:type="dxa" w:w="1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4</w:t>
            </w:r>
          </w:p>
        </w:tc>
        <w:tc>
          <w:tcPr>
            <w:tcW w:type="dxa" w:w="62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Implement the change, with a second-person check where staffing allows</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support]</w:t>
            </w:r>
          </w:p>
        </w:tc>
      </w:tr>
      <w:tr>
        <w:tc>
          <w:tcPr>
            <w:tcW w:type="dxa" w:w="1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5</w:t>
            </w:r>
          </w:p>
        </w:tc>
        <w:tc>
          <w:tcPr>
            <w:tcW w:type="dxa" w:w="62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Confirm the affected service is restored and stable</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support / operations]</w:t>
            </w:r>
          </w:p>
        </w:tc>
      </w:tr>
      <w:tr>
        <w:tc>
          <w:tcPr>
            <w:tcW w:type="dxa" w:w="1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6</w:t>
            </w:r>
          </w:p>
        </w:tc>
        <w:tc>
          <w:tcPr>
            <w:tcW w:type="dxa" w:w="62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Reconcile into change management: log it in the Change Request &amp; Approval Log within [reconciliation timeframe] with a risk and impact assessment</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support]</w:t>
            </w:r>
          </w:p>
        </w:tc>
      </w:tr>
      <w:tr>
        <w:tc>
          <w:tcPr>
            <w:tcW w:type="dxa" w:w="1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7</w:t>
            </w:r>
          </w:p>
        </w:tc>
        <w:tc>
          <w:tcPr>
            <w:tcW w:type="dxa" w:w="62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Review the emergency change at the next change review</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[Approver]</w:t>
            </w:r>
          </w:p>
        </w:tc>
      </w:tr>
    </w:tbl>
    <w:p>
      <w:pPr>
        <w:pStyle w:val="Heading2"/>
        <w:spacing w:after="100" w:before="220"/>
      </w:pPr>
      <w:r>
        <w:rPr>
          <w:rFonts w:ascii="Aptos" w:cs="Aptos" w:eastAsia="Aptos" w:hAnsi="Aptos"/>
          <w:b/>
          <w:bCs/>
          <w:color w:val="1B3A5C"/>
          <w:sz w:val="26"/>
          <w:szCs w:val="26"/>
        </w:rPr>
        <w:t xml:space="preserve">5. Verification Criteria</w:t>
      </w:r>
    </w:p>
    <w:p>
      <w:pPr>
        <w:spacing w:after="140"/>
      </w:pPr>
      <w:r>
        <w:rPr>
          <w:rFonts w:ascii="Aptos" w:cs="Aptos" w:eastAsia="Aptos" w:hAnsi="Aptos"/>
          <w:i/>
          <w:iCs/>
          <w:color w:val="595959"/>
          <w:sz w:val="24"/>
          <w:szCs w:val="24"/>
        </w:rPr>
        <w:t xml:space="preserve">«How the operator confirms the procedure worked. State the observable result, not the action.»</w:t>
      </w:r>
    </w:p>
    <w:p>
      <w:pPr>
        <w:spacing w:after="120" w:before="0"/>
      </w:pPr>
      <w:r>
        <w:rPr>
          <w:rFonts w:ascii="Aptos" w:cs="Aptos" w:eastAsia="Aptos" w:hAnsi="Aptos"/>
          <w:b w:val="false"/>
          <w:bCs w:val="false"/>
          <w:i w:val="false"/>
          <w:iCs w:val="false"/>
          <w:sz w:val="24"/>
          <w:szCs w:val="24"/>
        </w:rPr>
        <w:t xml:space="preserve">Every emergency change is authorized by the named role, documented at the time, and reconciled into the Change Request &amp; Approval Log within the stated window; the next change review confirms none bypassed the process.</w:t>
      </w:r>
    </w:p>
    <w:p>
      <w:pPr>
        <w:pStyle w:val="Heading2"/>
        <w:spacing w:after="100" w:before="220"/>
      </w:pPr>
      <w:r>
        <w:rPr>
          <w:rFonts w:ascii="Aptos" w:cs="Aptos" w:eastAsia="Aptos" w:hAnsi="Aptos"/>
          <w:b/>
          <w:bCs/>
          <w:color w:val="1B3A5C"/>
          <w:sz w:val="26"/>
          <w:szCs w:val="26"/>
        </w:rPr>
        <w:t xml:space="preserve">6. Related Documents</w:t>
      </w:r>
    </w:p>
    <w:p>
      <w:pPr>
        <w:spacing w:after="140"/>
      </w:pPr>
      <w:r>
        <w:rPr>
          <w:rFonts w:ascii="Aptos" w:cs="Aptos" w:eastAsia="Aptos" w:hAnsi="Aptos"/>
          <w:i/>
          <w:iCs/>
          <w:color w:val="595959"/>
          <w:sz w:val="24"/>
          <w:szCs w:val="24"/>
        </w:rPr>
        <w:t xml:space="preserve">«Reference dependent artifacts by their Tracker name. Point, do not restate.»</w:t>
      </w:r>
    </w:p>
    <w:p>
      <w:pPr>
        <w:spacing w:after="120" w:before="0"/>
      </w:pPr>
      <w:r>
        <w:rPr>
          <w:rFonts w:ascii="Aptos" w:cs="Aptos" w:eastAsia="Aptos" w:hAnsi="Aptos"/>
          <w:b w:val="false"/>
          <w:bCs w:val="false"/>
          <w:i w:val="false"/>
          <w:iCs w:val="false"/>
          <w:sz w:val="24"/>
          <w:szCs w:val="24"/>
        </w:rPr>
        <w:t xml:space="preserve">Change Management Policy; Change Request &amp; Approval Log; Patch Testing Procedure; Backup Call-Handling / Dispatch Continuity Procedure.</w:t>
      </w:r>
    </w:p>
    <w:p>
      <w:pPr>
        <w:pStyle w:val="Heading2"/>
        <w:spacing w:after="100" w:before="220"/>
      </w:pPr>
      <w:r>
        <w:rPr>
          <w:rFonts w:ascii="Aptos" w:cs="Aptos" w:eastAsia="Aptos" w:hAnsi="Aptos"/>
          <w:b/>
          <w:bCs/>
          <w:color w:val="1B3A5C"/>
          <w:sz w:val="26"/>
          <w:szCs w:val="26"/>
        </w:rPr>
        <w:t xml:space="preserve">Profile Scaling Notes</w:t>
      </w:r>
    </w:p>
    <w:p>
      <w:pPr>
        <w:spacing w:after="140"/>
      </w:pPr>
      <w:r>
        <w:rPr>
          <w:rFonts w:ascii="Aptos" w:cs="Aptos" w:eastAsia="Aptos" w:hAnsi="Aptos"/>
          <w:i/>
          <w:iCs/>
          <w:color w:val="595959"/>
          <w:sz w:val="24"/>
          <w:szCs w:val="24"/>
        </w:rPr>
        <w:t xml:space="preserve">One short paragraph per profile: what minimum-viable looks like for that reader and where to scale up. Keep all three if this ships as a template; delete the profiles that do not apply once adopted.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The director authorizes emergency changes and the county or vendor IT contact carries them out. Documentation can be a short note at the time, logged in the change record within a day and reviewed later.</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 named on-call authorizer approves; the shared IT team implements and reconciles the change into the change log on the next business day.</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 defined emergency-change authority and workflow, second-person verification, and reconciliation into the change system with review at the change board.</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color w:val="1B3A5C"/>
                <w:sz w:val="24"/>
                <w:szCs w:val="24"/>
              </w:rPr>
              <w:t xml:space="preserve">Source Authority</w:t>
            </w:r>
          </w:p>
          <w:p>
            <w:pPr>
              <w:spacing w:after="140"/>
            </w:pPr>
            <w:r>
              <w:rPr>
                <w:rFonts w:ascii="Aptos" w:cs="Aptos" w:eastAsia="Aptos" w:hAnsi="Aptos"/>
                <w:i w:val="false"/>
                <w:iCs w:val="false"/>
                <w:color w:val="595959"/>
                <w:sz w:val="24"/>
                <w:szCs w:val="24"/>
              </w:rPr>
              <w:t xml:space="preserve">List only the authorities that map to content in this artifact. Group by authority; order sections and control IDs numerically; add no padding.</w:t>
            </w:r>
          </w:p>
          <w:p>
            <w:pPr>
              <w:spacing w:after="40" w:before="0"/>
            </w:pPr>
            <w:r>
              <w:rPr>
                <w:rFonts w:ascii="Aptos" w:cs="Aptos" w:eastAsia="Aptos" w:hAnsi="Aptos"/>
                <w:sz w:val="24"/>
                <w:szCs w:val="24"/>
              </w:rPr>
              <w:t xml:space="preserve">NENA-STA-040.2-2024: §4.4, §5.5</w:t>
            </w:r>
          </w:p>
          <w:p>
            <w:pPr>
              <w:spacing w:after="40" w:before="0"/>
            </w:pPr>
            <w:r>
              <w:rPr>
                <w:rFonts w:ascii="Aptos" w:cs="Aptos" w:eastAsia="Aptos" w:hAnsi="Aptos"/>
                <w:sz w:val="24"/>
                <w:szCs w:val="24"/>
              </w:rPr>
              <w:t xml:space="preserve">NIST SP 800-53 Rev. 5: CM-3, CM-5, SI-2</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[Approving official / title]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[Owner role]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[Date]</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[Role]</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[Initial issue]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color w:val="1B3A5C"/>
                <w:sz w:val="24"/>
                <w:szCs w:val="24"/>
              </w:rPr>
              <w:t xml:space="preserve">Drafter's note </w:t>
            </w:r>
            <w:r>
              <w:rPr>
                <w:rFonts w:ascii="Aptos" w:cs="Aptos" w:eastAsia="Aptos" w:hAnsi="Aptos"/>
                <w:color w:val="595959"/>
                <w:sz w:val="24"/>
                <w:szCs w:val="24"/>
              </w:rPr>
              <w:t xml:space="preserve">(internal, delete before publishing)</w:t>
            </w:r>
          </w:p>
          <w:p>
            <w:pPr>
              <w:spacing w:after="140"/>
            </w:pPr>
            <w:r>
              <w:rPr>
                <w:rFonts w:ascii="Aptos" w:cs="Aptos" w:eastAsia="Aptos" w:hAnsi="Aptos"/>
                <w:sz w:val="24"/>
                <w:szCs w:val="24"/>
              </w:rPr>
              <w:t xml:space="preserve">Standard Procedure shell, kept as-is. The Scope states the emergency threshold so the expedited path is not a routine bypass; standing exceptions to the normal change process stay with the Change Management Policy, while this procedure covers emergency change.</w:t>
            </w:r>
          </w:p>
          <w:p>
            <w:pPr>
              <w:spacing w:after="140"/>
            </w:pPr>
            <w:r>
              <w:rPr>
                <w:rFonts w:ascii="Aptos" w:cs="Aptos" w:eastAsia="Aptos" w:hAnsi="Aptos"/>
                <w:sz w:val="24"/>
                <w:szCs w:val="24"/>
              </w:rPr>
              <w:t xml:space="preserve">The reconciliation step and verification criteria tie every emergency change back into the Change Request &amp; Approval Log. Agency-supplied values in brackets: [Agency Name], owner and signing roles, version and dates, the emergency authorizer, the reconciliation window, and the roles named per step.</w:t>
            </w:r>
          </w:p>
        </w:tc>
      </w:tr>
    </w:tbl>
    <w:sectPr>
      <w:headerReference w:type="default" r:id="rId7"/>
      <w:footerReference w:type="default" r:id="rId8"/>
      <w:headerReference w:type="first" r:id="rId10"/>
      <w:headerReference w:type="even" r:id="rId11"/>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t xml:space="preserve"/>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11"/>
    <w:lvlOverride w:ilvl="0">
      <w:startOverride w:val="1"/>
    </w:lvlOverride>
  </w:num>
  <w:num w:numId="3">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header" Target="header2.xml"/><Relationship Id="rId11" Type="http://schemas.openxmlformats.org/officeDocument/2006/relationships/header" Target="header3.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2026-06-01T15:29:11.455Z</dcterms:created>
  <dcterms:modified xsi:type="dcterms:W3CDTF">2026-06-01T15:29:11.455Z</dcterms:modified>
</cp:coreProperties>
</file>

<file path=docProps/custom.xml><?xml version="1.0" encoding="utf-8"?>
<Properties xmlns="http://schemas.openxmlformats.org/officeDocument/2006/custom-properties" xmlns:vt="http://schemas.openxmlformats.org/officeDocument/2006/docPropsVTypes"/>
</file>