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Background Check &amp; Screening Policy</w:t>
      </w:r>
    </w:p>
    <w:p>
      <w:pPr>
        <w:spacing w:after="140"/>
      </w:pPr>
      <w:r>
        <w:rPr>
          <w:rFonts w:ascii="Aptos" w:cs="Aptos" w:eastAsia="Aptos" w:hAnsi="Aptos"/>
          <w:i/>
          <w:iCs/>
          <w:color w:val="595959"/>
          <w:sz w:val="24"/>
          <w:szCs w:val="24"/>
        </w:rPr>
        <w:t xml:space="preserve">«Replace with the artifact name exactly as it appears in the Tracker (e.g., 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hAnsi="Aptos"/>
                <w:b/>
                <w:sz w:val="24"/>
              </w:rPr>
              <w:t xml:space="preserve">Classification: </w:t>
            </w:r>
            <w:r>
              <w:rPr>
                <w:rFonts w:ascii="Aptos" w:hAnsi="Aptos"/>
                <w:b w:val="0"/>
                <w:sz w:val="24"/>
              </w:rPr>
              <w:t>Internal / CJIS</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color="auto"/>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b w:val="0"/>
                <w:color w:val="595959"/>
                <w:sz w:val="24"/>
              </w:rPr>
              <w:t>This template is ready to adopt. Replace every [BRACKETED] field with your agency’s information, follow the « » guidance notes, and delete every « » note and this box before you publish.</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b w:val="0"/>
                <w:color w:val="595959"/>
                <w:sz w:val="24"/>
              </w:rPr>
              <w:t>Keep the body director-readable. Push technical detail and contact lists to an appendix. Source Authority, approval signatures, and revision history stay at the foot of the document.</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establishes the screening required before any individual is granted access to [Agency Name] facilities, systems, or criminal justice information. It defines which positions require background checks, the scope of those checks, how adverse findings are adjudicated, and the vetting required for contractors and vendor personnel with unescorted access.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candidates for employment, current personnel subject to periodic rescreening, and any contractor or vendor personnel requiring unescorted facility access or access to ECC / NG9-1-1 systems.</w:t>
      </w:r>
    </w:p>
    <w:p>
      <w:pPr>
        <w:pStyle w:val="ListParagraph"/>
        <w:numPr>
          <w:ilvl w:val="0"/>
          <w:numId w:val="2"/>
        </w:numPr>
        <w:spacing w:after="60"/>
      </w:pPr>
      <w:r>
        <w:rPr>
          <w:rFonts w:ascii="Aptos" w:cs="Aptos" w:eastAsia="Aptos" w:hAnsi="Aptos"/>
          <w:b w:val="false"/>
          <w:bCs w:val="false"/>
          <w:i w:val="false"/>
          <w:iCs w:val="false"/>
          <w:sz w:val="24"/>
          <w:szCs w:val="24"/>
        </w:rPr>
        <w:t>Covers: pre-employment screening, periodic rescreening, fingerprint-based criminal history checks where required, and CJIS personnel-security screening conducted through IDACS.</w:t>
      </w:r>
    </w:p>
    <w:p>
      <w:pPr>
        <w:pStyle w:val="ListParagraph"/>
        <w:numPr>
          <w:ilvl w:val="0"/>
          <w:numId w:val="2"/>
        </w:numPr>
        <w:spacing w:after="60"/>
      </w:pPr>
      <w:r>
        <w:rPr>
          <w:rFonts w:ascii="Aptos" w:cs="Aptos" w:eastAsia="Aptos" w:hAnsi="Aptos"/>
          <w:b w:val="false"/>
          <w:bCs w:val="false"/>
          <w:i w:val="false"/>
          <w:iCs w:val="false"/>
          <w:sz w:val="24"/>
          <w:szCs w:val="24"/>
        </w:rPr>
        <w:t>Excludes: escorted visitors who do not access systems or controlled areas, governed instead by the Physical Access Control Policy and the Visitor Access Agreement Form.</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Unescorted access: physical or logical access granted without continuous supervision by an authorized employee.</w:t>
      </w:r>
    </w:p>
    <w:p>
      <w:pPr>
        <w:spacing w:after="120" w:before="0"/>
      </w:pPr>
      <w:r>
        <w:rPr>
          <w:rFonts w:ascii="Aptos" w:cs="Aptos" w:eastAsia="Aptos" w:hAnsi="Aptos"/>
          <w:b w:val="false"/>
          <w:bCs w:val="false"/>
          <w:i w:val="false"/>
          <w:iCs w:val="false"/>
          <w:sz w:val="24"/>
          <w:szCs w:val="24"/>
        </w:rPr>
        <w:t>Adverse finding: any result of a background check that may disqualify an individual or that requires adjudication before an access decision.</w:t>
      </w:r>
    </w:p>
    <w:p>
      <w:pPr>
        <w:spacing w:after="120" w:before="0"/>
      </w:pPr>
      <w:r>
        <w:rPr>
          <w:rFonts w:ascii="Aptos" w:cs="Aptos" w:eastAsia="Aptos" w:hAnsi="Aptos"/>
          <w:b w:val="false"/>
          <w:bCs w:val="false"/>
          <w:i w:val="false"/>
          <w:iCs w:val="false"/>
          <w:sz w:val="24"/>
          <w:szCs w:val="24"/>
        </w:rPr>
        <w:t>Adjudication: the documented review and decision on whether an adverse finding disqualifies an individual from a position or from access.</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complete a background check on every candidate before granting unsupervised access to facilities, systems, or criminal justice information.</w:t>
      </w:r>
    </w:p>
    <w:p>
      <w:pPr>
        <w:pStyle w:val="ListParagraph"/>
        <w:numPr>
          <w:ilvl w:val="0"/>
          <w:numId w:val="3"/>
        </w:numPr>
        <w:spacing w:after="60"/>
      </w:pPr>
      <w:r>
        <w:rPr>
          <w:rFonts w:ascii="Aptos" w:cs="Aptos" w:eastAsia="Aptos" w:hAnsi="Aptos"/>
          <w:b w:val="false"/>
          <w:bCs w:val="false"/>
          <w:i w:val="false"/>
          <w:iCs w:val="false"/>
          <w:sz w:val="24"/>
          <w:szCs w:val="24"/>
        </w:rPr>
        <w:t>The Agency shall define screening tiers by position risk, with the scope of each check matched to the sensitivity of the access granted: [list positions and the check required for each].</w:t>
      </w:r>
    </w:p>
    <w:p>
      <w:pPr>
        <w:pStyle w:val="ListParagraph"/>
        <w:numPr>
          <w:ilvl w:val="0"/>
          <w:numId w:val="3"/>
        </w:numPr>
        <w:spacing w:after="60"/>
      </w:pPr>
      <w:r>
        <w:rPr>
          <w:rFonts w:ascii="Aptos" w:cs="Aptos" w:eastAsia="Aptos" w:hAnsi="Aptos"/>
          <w:b w:val="false"/>
          <w:bCs w:val="false"/>
          <w:i w:val="false"/>
          <w:iCs w:val="false"/>
          <w:sz w:val="24"/>
          <w:szCs w:val="24"/>
        </w:rPr>
        <w:t>Personnel in positions with access to CJIS-regulated data shall complete fingerprint-based state and national criminal history checks through IDACS before access is granted, consistent with the CJIS Security Policy.</w:t>
      </w:r>
    </w:p>
    <w:p>
      <w:pPr>
        <w:pStyle w:val="ListParagraph"/>
        <w:numPr>
          <w:ilvl w:val="0"/>
          <w:numId w:val="3"/>
        </w:numPr>
        <w:spacing w:after="60"/>
      </w:pPr>
      <w:r>
        <w:rPr>
          <w:rFonts w:ascii="Aptos" w:cs="Aptos" w:eastAsia="Aptos" w:hAnsi="Aptos"/>
          <w:b w:val="false"/>
          <w:bCs w:val="false"/>
          <w:i w:val="false"/>
          <w:iCs w:val="false"/>
          <w:sz w:val="24"/>
          <w:szCs w:val="24"/>
        </w:rPr>
        <w:t>The Agency shall require contractors and vendor personnel with unescorted facility access, or access to ECC / NG9-1-1 systems, to complete equivalent screening before access is granted, and shall record that requirement in the governing vendor agreement.</w:t>
      </w:r>
    </w:p>
    <w:p>
      <w:pPr>
        <w:pStyle w:val="ListParagraph"/>
        <w:numPr>
          <w:ilvl w:val="0"/>
          <w:numId w:val="3"/>
        </w:numPr>
        <w:spacing w:after="60"/>
      </w:pPr>
      <w:r>
        <w:rPr>
          <w:rFonts w:ascii="Aptos" w:cs="Aptos" w:eastAsia="Aptos" w:hAnsi="Aptos"/>
          <w:b w:val="false"/>
          <w:bCs w:val="false"/>
          <w:i w:val="false"/>
          <w:iCs w:val="false"/>
          <w:sz w:val="24"/>
          <w:szCs w:val="24"/>
        </w:rPr>
        <w:t>The Agency shall rescreen personnel on the interval defined by the Agency and, for CJIS-regulated access, on the cadence IDACS requires, and on any event that warrants review.</w:t>
      </w:r>
    </w:p>
    <w:p>
      <w:pPr>
        <w:pStyle w:val="ListParagraph"/>
        <w:numPr>
          <w:ilvl w:val="0"/>
          <w:numId w:val="3"/>
        </w:numPr>
        <w:spacing w:after="60"/>
      </w:pPr>
      <w:r>
        <w:rPr>
          <w:rFonts w:ascii="Aptos" w:cs="Aptos" w:eastAsia="Aptos" w:hAnsi="Aptos"/>
          <w:b w:val="false"/>
          <w:bCs w:val="false"/>
          <w:i w:val="false"/>
          <w:iCs w:val="false"/>
          <w:sz w:val="24"/>
          <w:szCs w:val="24"/>
        </w:rPr>
        <w:t>The Agency shall hold screening results as confidential personnel records, stored separately from general personnel files, and release them only to those with a need to know.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disclosing disqualifying events that arise after initial screening, as defined by [Agency Name].</w:t>
      </w:r>
    </w:p>
    <w:p>
      <w:pPr>
        <w:spacing w:after="60"/>
      </w:pPr>
      <w:r>
        <w:rPr>
          <w:rFonts w:ascii="Aptos" w:cs="Aptos" w:eastAsia="Aptos" w:hAnsi="Aptos"/>
          <w:b/>
          <w:bCs w:val="false"/>
          <w:i w:val="false"/>
          <w:iCs w:val="false"/>
          <w:sz w:val="24"/>
          <w:szCs w:val="24"/>
        </w:rPr>
        <w:t>Adjudication of adverse findings:</w:t>
      </w:r>
    </w:p>
    <w:p>
      <w:pPr>
        <w:pStyle w:val="ListParagraph"/>
        <w:numPr>
          <w:ilvl w:val="0"/>
          <w:numId w:val="3"/>
        </w:numPr>
        <w:spacing w:after="60"/>
      </w:pPr>
      <w:r>
        <w:rPr>
          <w:rFonts w:ascii="Aptos" w:cs="Aptos" w:eastAsia="Aptos" w:hAnsi="Aptos"/>
          <w:b w:val="false"/>
          <w:bCs w:val="false"/>
          <w:i w:val="false"/>
          <w:iCs w:val="false"/>
          <w:sz w:val="24"/>
          <w:szCs w:val="24"/>
        </w:rPr>
        <w:t>The [Director / Coordinator or designated adjudicating authority] reviews every adverse finding before an access decision is made.</w:t>
      </w:r>
    </w:p>
    <w:p>
      <w:pPr>
        <w:pStyle w:val="ListParagraph"/>
        <w:numPr>
          <w:ilvl w:val="0"/>
          <w:numId w:val="3"/>
        </w:numPr>
        <w:spacing w:after="60"/>
      </w:pPr>
      <w:r>
        <w:rPr>
          <w:rFonts w:ascii="Aptos" w:cs="Aptos" w:eastAsia="Aptos" w:hAnsi="Aptos"/>
          <w:b w:val="false"/>
          <w:bCs w:val="false"/>
          <w:i w:val="false"/>
          <w:iCs w:val="false"/>
          <w:sz w:val="24"/>
          <w:szCs w:val="24"/>
        </w:rPr>
        <w:t>Adjudication weighs the nature of the finding, its relevance to the position, the time elapsed, and any CJIS or IDACS disqualifier that applies automatically.</w:t>
      </w:r>
    </w:p>
    <w:p>
      <w:pPr>
        <w:pStyle w:val="ListParagraph"/>
        <w:numPr>
          <w:ilvl w:val="0"/>
          <w:numId w:val="3"/>
        </w:numPr>
        <w:spacing w:after="60"/>
      </w:pPr>
      <w:r>
        <w:rPr>
          <w:rFonts w:ascii="Aptos" w:cs="Aptos" w:eastAsia="Aptos" w:hAnsi="Aptos"/>
          <w:b w:val="false"/>
          <w:bCs w:val="false"/>
          <w:i w:val="false"/>
          <w:iCs w:val="false"/>
          <w:sz w:val="24"/>
          <w:szCs w:val="24"/>
        </w:rPr>
        <w:t>The decision, its basis, and the date are recorded in the Screening Completion Records. A denied applicant is notified consistent with applicable law.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serves as or designates the adjudicating authority; approves the screening tiers.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CJIS Terminal Agency Coordinator (TAC)</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Orders and reviews IDACS fingerprint-based checks; confirms CJIS personnel-security requirements are met before access.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Onboarding lead / HR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Initiates checks, collects consent, files results as confidential records, and tracks rescreening due dates.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Grants system access only after screening clearance is confirmed.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Vendor / contract manager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Confirms contractor and vendor-personnel screening is complete and documented before unescorted access.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Access granted without the required screening is a reportable control failure. [Agency Name] suspends the access pending completion and records the exception. Repeated or willful bypass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Only the [Director / Coordinator] may grant a time-limited exception, in writing, with a documented compensating control such as continuous escort. Exceptions are logged and expire on [timeframe] or when screening completes, whichever comes first. No exception is available for CJIS access, which requires screening before access by federal policy.</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[annually] and after [any change to CJIS screening requirements or Indiana statute],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as written. The director usually serves as the adjudicating authority and works with county HR and the IDACS TAC for fingerprint checks. One consent form and one confidential file per person is enough.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coordinator or HR contact runs screening and tracks rescreening dates; the director adjudicates adverse findings. Contractor screening clauses go into vendor agreements managed by the shared-services or county contracts office.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 dedicated HR or security function manages tiered screening, periodic rescreening, and contractor vetting through a tracked workflow, with the TAC owning all IDACS / CJIS checks and a documented adjudication authority or panel.</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false"/>
          <w:bCs w:val="false"/>
          <w:i w:val="false"/>
          <w:iCs w:val="false"/>
          <w:sz w:val="24"/>
          <w:szCs w:val="24"/>
        </w:rPr>
        <w:t>CJIS Handling: This policy governs screening for personnel and contractors who access CJIS-regulated data, in Indiana typically reached through IDACS. Apply CJIS Security Policy v[5.9] §5.12 (Personnel Security) and 240 IAC 5 in addition to the requirements above. Fingerprint-based national criminal history checks are mandatory before CJIS access and on the rescreening cadence CJIS requires.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§6.1.2</w:t>
            </w:r>
          </w:p>
          <w:p>
            <w:pPr>
              <w:spacing w:after="40" w:before="0"/>
            </w:pPr>
            <w:r>
              <w:rPr>
                <w:rFonts w:ascii="Aptos" w:cs="Aptos" w:eastAsia="Aptos" w:hAnsi="Aptos"/>
                <w:b w:val="false"/>
                <w:bCs w:val="false"/>
                <w:i w:val="false"/>
                <w:iCs w:val="false"/>
                <w:sz w:val="24"/>
                <w:szCs w:val="24"/>
              </w:rPr>
              <w:t>NIST SP 800-53 Rev. 5: PS-2, PS-3, PS-6, PS-7</w:t>
            </w:r>
          </w:p>
          <w:p>
            <w:pPr>
              <w:spacing w:after="40" w:before="0"/>
            </w:pPr>
            <w:r>
              <w:rPr>
                <w:rFonts w:ascii="Aptos" w:cs="Aptos" w:eastAsia="Aptos" w:hAnsi="Aptos"/>
                <w:b w:val="false"/>
                <w:bCs w:val="false"/>
                <w:i w:val="false"/>
                <w:iCs w:val="false"/>
                <w:sz w:val="24"/>
                <w:szCs w:val="24"/>
              </w:rPr>
              <w:t>Indiana statutes and administrative code: 240 IAC 5: IDACS Security</w:t>
            </w:r>
          </w:p>
          <w:p>
            <w:pPr>
              <w:spacing w:after="0" w:before="0"/>
            </w:pPr>
            <w:r>
              <w:rPr>
                <w:rFonts w:ascii="Aptos" w:cs="Aptos" w:eastAsia="Aptos" w:hAnsi="Aptos"/>
                <w:b w:val="false"/>
                <w:bCs w:val="false"/>
                <w:i w:val="false"/>
                <w:iCs w:val="false"/>
                <w:sz w:val="24"/>
                <w:szCs w:val="24"/>
              </w:rPr>
              <w:t>CJIS Security Policy v5.9: §5.12 (Personnel Security;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Screening tiers, the rescreening interval, and the exception timeframe are agency-defined and left bracketed. The named adjudicating authority and the IDACS TAC role should be confirmed against the agency’s CJIS arrangement.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