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Server Room / Equipment Area Hardening Assessment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Cover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Assessment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Assessor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Agency's server rooms and equipment areas, including cabling, equipment, and displays. Assessment period: [period]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Report / Assessment artifacts. Raise to Confidential if the report names individuals as subjects.»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«Three or four sentences a director can act on: what was assessed, the headline result, the most important finding. Write this last.»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[Executive summary.]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Hardening Requirements Conformance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«One row per requirement area in the Physical Security Hardening Standard. Mark each Conforms, Gap, or N/A, and note the constraint behind any gap.»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Requirement area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What good looks like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Conformance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Notes / gap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Placement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Sensitive systems in restricted, climate-controlled rooms matched to classification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[Conforms / Gap / N/A]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[notes]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Cabling &amp; conduit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Locked, labeled, restricted-zone cabling; inspected for tampering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[Conforms / Gap / N/A]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[notes]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Equipment locking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Equipment in locked racks or cabinets; keys limited to authorized staff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[Conforms / Gap / N/A]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[notes]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Display protection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Privacy filters and automatic screen lock on dispatch and call-taker displays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[Conforms / Gap / N/A]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[notes]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3. Findings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«One row per finding. Use a consistent severity scale. Keep the recommendation specific.»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Recommendation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[finding]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[High / Med / Low]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[recommendation]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[finding]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[High / Med / Low]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[recommendation]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[Add findings as needed.]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4. Remediation Tracking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finding’s owner, action, due date, and status. Mirror open items into the Risk / Finding Register (POA&amp;M); do not maintain two trackers.»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[action]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[Open / In progress / Closed]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[action]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[Open / In progress / Closed]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Shared-Space / Co-location Risk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«Complete only where Agency equipment shares space with other agencies or departments. State the risk and the compensating control for each.»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Co-located equipment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Shared with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Risk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Compensating control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[equipment]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[other agency / department]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[risk from co-location]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[compensating control]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[equipment]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[other agency / department]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[risk from co-location]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[compensating control]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director walks the equipment room once a year with the hardening standard in hand, notes any gap, and records a compensating control where a shared space cannot be fixed. The assessment is short and on paper.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and the security coordinator assess the equipment areas against the standard on a set cycle, log gaps as findings, and track them to closure in the finding register.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Facilities or IT runs a scheduled formal assessment across both centers, with findings, severity, and remediation tracked as part of the security program.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§5.2, §6.1.1, §6.1.4, §6.1.5, §6.7.2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CA-2, PE-3, PE-4, PE-5, PE-14, PE-18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[Assessor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[Reviewed by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Assesses against the Physical Security Hardening Standard (A-074): the conformance table walks that standard's four requirement areas. Confirm before finalizing: (1) the assessor role and assessment cadence; (2) whether environmental-hazard findings (fire, flood, temperature, utility) should cross-reference the Risk Assessment Report and Risk Register per question 10E-1. No CJIS overlay. Cross-referenced artifacts use Tracker names: Physical Security Hardening Standard, Risk / Finding Register (POA&amp;M), Risk Assessment Report, Risk Register.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2026-06-01T15:29:11.506Z</dcterms:created>
  <dcterms:modified xsi:type="dcterms:W3CDTF">2026-06-01T15:29:11.506Z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