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{agencyName}, {directorName}</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{itSupport}, {roleTitle}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«Minimum for this Agreement. Raise to Confidential for signed copies that carry named-party contact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agreement records the cybersecurity obligations between the Agency and whoever provides its IT support. Replace every [BRACKETED] field, set real targets in the Service Levels table, follow the « » guidance, and delete every « » note and this box before signing.</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This is the enforcement mechanism behind the Agency's governance. Keep it consistent with the RACI Matrix for Cybersecurity, which assigns who is accountable for each duty named here.</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agreement establishes and why the parties enter it. One or two sentences.»</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40"/>
      </w:pPr>
      <w:r>
        <w:rPr>
          <w:rFonts w:ascii="Aptos" w:cs="Aptos" w:eastAsia="Aptos" w:hAnsi="Aptos"/>
          <w:i/>
          <w:iCs/>
          <w:color w:val="595959"/>
          <w:sz w:val="24"/>
          <w:szCs w:val="24"/>
        </w:rPr>
        <w:t>«Define only the terms this agreement measures against. These set the thresholds the parties are held to.»</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spacing w:after="140"/>
      </w:pPr>
      <w:r>
        <w:rPr>
          <w:rFonts w:ascii="Aptos" w:cs="Aptos" w:eastAsia="Aptos" w:hAnsi="Aptos"/>
          <w:i/>
          <w:iCs/>
          <w:color w:val="595959"/>
          <w:sz w:val="24"/>
          <w:szCs w:val="24"/>
        </w:rPr>
        <w:t xml:space="preserve">«The binding obligations, as numbered terms. State which party owns each. Be specific about timing and thresholds.»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{timeframe}.</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{timeframe2},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p>
      <w:pPr>
        <w:spacing w:after="140"/>
      </w:pPr>
      <w:r>
        <w:rPr>
          <w:rFonts w:ascii="Aptos" w:cs="Aptos" w:eastAsia="Aptos" w:hAnsi="Aptos"/>
          <w:i/>
          <w:iCs/>
          <w:color w:val="595959"/>
          <w:sz w:val="24"/>
          <w:szCs w:val="24"/>
        </w:rPr>
        <w:t>«The measurable targets the provider is held to. Set real numbers; an unmeasured service level is unenforceable.»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cantSplit/>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rPr>
          <w:cantSplit/>
        </w:trP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30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escalation to provider management]</w:t>
            </w:r>
          </w:p>
        </w:tc>
      </w:tr>
      <w:tr>
        <w:trPr>
          <w:cantSplit/>
        </w:trP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r>
        <w:trPr>
          <w:cantSplit/>
        </w:trP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72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{howMeasured3}</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{remedy2}</w:t>
            </w:r>
          </w:p>
        </w:tc>
      </w:tr>
      <w:tr>
        <w:trPr>
          <w:cantSplit/>
        </w:trP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{howMeasured4}</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{remedy3}</w:t>
            </w:r>
          </w:p>
        </w:tc>
      </w:tr>
      <w:tr>
        <w:trPr>
          <w:cantSplit/>
        </w:trP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{howMeasured5}</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{remedy4}</w:t>
            </w:r>
          </w:p>
        </w:tc>
      </w:tr>
    </w:tbl>
    <w:p>
      <w:pPr>
        <w:pStyle w:val="Heading2"/>
        <w:spacing w:after="100" w:before="220"/>
      </w:pPr>
      <w:r>
        <w:rPr>
          <w:rFonts w:ascii="Aptos" w:cs="Aptos" w:eastAsia="Aptos" w:hAnsi="Aptos"/>
          <w:b/>
          <w:bCs/>
          <w:color w:val="1B3A5C"/>
          <w:sz w:val="26"/>
          <w:szCs w:val="26"/>
        </w:rPr>
        <w:t>5. Points of Contact</w:t>
      </w:r>
    </w:p>
    <w:p>
      <w:pPr>
        <w:spacing w:after="140"/>
      </w:pPr>
      <w:r>
        <w:rPr>
          <w:rFonts w:ascii="Aptos" w:cs="Aptos" w:eastAsia="Aptos" w:hAnsi="Aptos"/>
          <w:i/>
          <w:iCs/>
          <w:color w:val="595959"/>
          <w:sz w:val="24"/>
          <w:szCs w:val="24"/>
        </w:rPr>
        <w:t>«Operational escalation contacts by role, separate from the signatures below. Naming individuals raises a signed copy to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{providerRole}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w:t>
            </w:r>
          </w:p>
        </w:tc>
      </w:tr>
    </w:tbl>
    <w:p>
      <w:pPr>
        <w:pStyle w:val="Heading2"/>
        <w:spacing w:after="100" w:before="220"/>
      </w:pPr>
      <w:r>
        <w:rPr>
          <w:rFonts w:ascii="Aptos" w:cs="Aptos" w:eastAsia="Aptos" w:hAnsi="Aptos"/>
          <w:b/>
          <w:bCs/>
          <w:color w:val="1B3A5C"/>
          <w:sz w:val="26"/>
          <w:szCs w:val="26"/>
        </w:rPr>
        <w:t>6. Signatures</w:t>
      </w:r>
    </w:p>
    <w:p>
      <w:pPr>
        <w:spacing w:after="140"/>
      </w:pPr>
      <w:r>
        <w:rPr>
          <w:rFonts w:ascii="Aptos" w:cs="Aptos" w:eastAsia="Aptos" w:hAnsi="Aptos"/>
          <w:i/>
          <w:iCs/>
          <w:color w:val="595959"/>
          <w:sz w:val="24"/>
          <w:szCs w:val="24"/>
        </w:rPr>
        <w:t xml:space="preserve">«Each party signs and dates. Roles, with named individuals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cantSplit/>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{partyA}</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{partyB}</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7. Retention</w:t>
      </w:r>
    </w:p>
    <w:p>
      <w:pPr>
        <w:spacing w:after="14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before="0"/>
      </w:pPr>
      <w:r>
        <w:rPr>
          <w:rFonts w:ascii="Aptos" w:cs="Aptos" w:eastAsia="Aptos" w:hAnsi="Aptos"/>
          <w:b w:val="false"/>
          <w:bCs w:val="false"/>
          <w:i w:val="false"/>
          <w:iCs w:val="false"/>
          <w:sz w:val="24"/>
          <w:szCs w:val="24"/>
        </w:rPr>
        <w:t>Retention: the signed original is kept by the {directorName} for the life of the agreement plus {period}, stored {location}. Align with the Document Handling Standard.</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single most important artifact for a small PSAP: it pins down what county or vendor IT actually owes you. Fill the Service Levels with realistic numbers and name one escalation contact on each side. Review annually.</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Tie the service levels to the county's existing IT ticketing and on-call. The security coordinator tracks misses and raises them at governance review.</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as a formal SLA with reporting. Where IT is in-house, the agreement still records the same obligations between the PSAP and its IT function so accountability is explicit.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{reviewerRole2}</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Service Levels table ships with example targets in brackets. The Agency and provider set the real numbers; do not leave them as examples.</w:t>
            </w:r>
          </w:p>
          <w:p>
            <w:pPr>
              <w:spacing w:after="140"/>
            </w:pPr>
            <w:r>
              <w:rPr>
                <w:rFonts w:ascii="Aptos" w:cs="Aptos" w:eastAsia="Aptos" w:hAnsi="Aptos"/>
                <w:i/>
                <w:iCs/>
                <w:color w:val="595959"/>
                <w:sz w:val="24"/>
                <w:szCs w:val="24"/>
              </w:rPr>
              <w:t>The CJIS Security Policy line applies only where the provider accesses systems carrying CJIS-regulated data through IDACS. Confirm and, where it applies, append “ / CJIS” to the Classification.</w:t>
            </w:r>
          </w:p>
          <w:p>
            <w:pPr>
              <w:spacing w:after="140"/>
            </w:pPr>
            <w:r>
              <w:rPr>
                <w:rFonts w:ascii="Aptos" w:cs="Aptos" w:eastAsia="Aptos" w:hAnsi="Aptos"/>
                <w:i/>
                <w:iCs/>
                <w:color w:val="595959"/>
                <w:sz w:val="24"/>
                <w:szCs w:val="24"/>
              </w:rPr>
              <w:t>Cross-referenced artifacts use their Tracker names: RACI Matrix for Cybersecurity, Asset Criticality Ranking Matrix, Patch Management Schedule, Document Handling Standard.</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2026-06-01T15:29:11.513Z</dcterms:created>
  <dcterms:modified xsi:type="dcterms:W3CDTF">2026-06-01T15:29:11.513Z</dcterms:modified>
  <dc:title xmlns:dc="http://purl.org/dc/elements/1.1/">IT Support Accountability Agreement (SLA / MOU) - FORM</dc:title>
</cp:coreProperties>
</file>

<file path=docProps/custom.xml><?xml version="1.0" encoding="utf-8"?>
<Properties xmlns="http://schemas.openxmlformats.org/officeDocument/2006/custom-properties" xmlns:vt="http://schemas.openxmlformats.org/officeDocument/2006/docPropsVTypes"/>
</file>