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record. Your agency may raise this but not lower it. Raise to Confidential when entries name individuals or carry PII.»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per meeting,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line each. This is the recurring leadership security review. Record when and where it met and the cadence it follows.»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{startTime} to {endTime}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{location}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[e.g., Quarterly Leadership Security Review]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«List everyone present and their role. Names are expected here; this is a record, not a brand-free policy. Mark absences.»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{roleTitle2}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{yesNo}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{entryName2}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{roleTitle3}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{yesNo2}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{entryName3}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{roleTitle4}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{yesNo3}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leadership reviewed. Keep each line short; attach detail rather than restating it.»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[summary of where the program stands].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[key metrics and trend since last review].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[top risks and any change in priority].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[emerging threats or intelligence briefed to leadership].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decision leadership made and the priorities set for the next period. One per line.»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{decisionOrPriority}.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{decisionOrPriority2}.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action, the role that owns it, and when it is due. Mirror items that carry risk into the Risk / Finding Register (POA&amp;M).»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cantSplit/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{action}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{statusOpen}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{action2}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{effectiveDate5}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«Date and focus of the next scheduled review.»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{effectiveDate6}. Focus: {topic}.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«State how long these minutes are retained and where, per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{period}, stored {location2}.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{recordedByRole}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{chairRole}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{effectiveDate7}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record evidences that senior leaders review the program and emerging threats on a set cadence (satisfies assessment question 1A-3). Names are expected in the Attendees and Sign-off blocks; classified Restricted, raised to Confidential if minutes capture PII or sensitive incident detail. Cross-referenced artifacts use their Tracker names: Risk / Finding Register (POA&amp;M), Threat Intelligence Routing &amp; Distribution Matrix, Board / Leadership Security Reporting Template. Confirm the NENA-STA-040.2-2024 section (§4.1.1) against the standard in force.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Leadership Security Review Meeting Minutes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