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Secure Disposal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procedure defines how {agencyName} securely destroys data and storage media at the end of retention, by classification, and decommissions end-of-life hardware and software, so no recoverable Agency data leaves its control. It implements the Data Classification Policy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IT support and the roles that authorize and carry out disposal, and any vendor that destroys media or decommissions equipment for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data and storage media at every classification, including drives, tapes, removable media, and printed records, and the decommissioning of end-of-life hardware and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media the State or another agency destroys for systems the Agency does not operate. [State any local exclusions.]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Data Classification Policy, the Document Handling Standard, and the Data Retention Schedule are in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Approved destruction methods for each classification and media type are set, and the Data Disposal / Destruction Records exist to capture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roles that authorize and perform destruction are assigned.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Identify and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identifies data or media reaching end of retention (from the Data Retention Schedule) or hardware reaching end of life.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owner authorizes destruction, confirms the item is no longer needed, and records its classification.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{ownerRole}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Select method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selects a destruction method matching the item's classification and media type: cryptographic erase or overwrite for reusable media, physical destruction (shred, degauss) for the most sensitive data or media leaving Agency control.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Where a vendor destroys the media, the Agency uses an approved vendor and obtains a certificate of destruction.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Destroy and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or the approved vendor destroys the data or media by the selected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/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For end-of-life systems, IT removes Agency data, wipes or destroys storage, and records the decommissioning.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records each destruction (item, classification, method, operator, date, and certificate reference where issued) in the Data Disposal / Destruction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For any disposed item the operator can show the authorization, the method used, and the destruction record, with a certificate of destruction where a vendor performed it. No end-of-life media leaves Agency control with recoverable data on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Data Classification Policy; Document Handling Standard; Data Retention Schedule; Data Disposal / Destruction Records;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Little media to dispose of. One person wipes or physically destroys a drive when a machine is retired, shreds printed sensitive records, and notes what was done.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runs disposal for the county's shared systems, often using a shredding or destruction vendor and keeping the certificates.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Disposal runs from the asset-decommissioning workflow, with approved methods per classification, vendor certificates, and records reconciled against the retention schedule.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MP-6, MP-6(1), SI-12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The executable side of secure disposal; the by-classification destruction rules are in the Document Handling Standard and the evidence is captured in the Data Disposal / Destruction Records (point, do not restate). Agency-supplied values in brackets: {agencyName}, the authorizing owner role, and the approved methods and vendor. CJIS and IDACS scope: if the items destroyed hold CJIS-regulated data, add CJIS Security Policy v5.9 §5.8.3 and 240 IAC 5 to the Source Authority and apply the CJIS overlay.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Secure Disposal Procedures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