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After-Action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Incident / exercise date: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{effectiveDate}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Facilitator / IR lead (role):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{reviewerRole}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{scopeOfReview}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{reviewerRole2}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Restricted / CJIS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 Minimum for Report / Assessment artifacts. Append / CJIS when the incident involved CJIS-regulated data; raise to Confidential if the report names individuals as subjects.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report captures what the Agency learned from a security incident or exercise: what happened, what worked, what did not, and the corrective actions taken. One report is completed per incident or exercise, drawing the event from the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Event Summary</w:t>
      </w:r>
    </w:p>
    <w:p>
      <w:pPr>
        <w:spacing w:after="60"/>
      </w:pPr>
      <w:r>
        <w:rPr>
          <w:i/>
          <w:color w:val="595959"/>
        </w:rPr>
        <w:t xml:space="preserve">« What happened, when it was detected, what was affected, and how it was handled. Keep it factual and brief; the detail lives in the Incident Log / Register. »</w:t>
      </w:r>
    </w:p>
    <w:p>
      <w:pPr>
        <w:spacing w:after="60"/>
      </w:pPr>
      <w:r>
        <w:rPr/>
        <w:t xml:space="preserve">[Two to four sentences: the nature of the incident or exercise, when it was detected or run, the systems and data involved, the response actions taken, and the outcome. Reference the Incident Log / Register entry it draws from.]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Observations &amp;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One row per observation. Mark each a Strength (what worked, sustain it) or a Gap (what failed, fix it). Severity applies to gaps.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Type (Strength / Gap)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{whatWorkedOrWhatFailed}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{strengthGap}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{findingSeverity}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{recommendationOrThePracticeToSustain}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{observation}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{strengthGap2}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{findingSeverity2}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{recommendation}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observations as needed]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Each gap's owner, action, due date, and status. Mirror open items into the Risk / Finding Register (POA&amp;M); do not keep two trackers. Lessons also feed the IRP Revision History / Update Log.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{correctiveAction}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{correctiveAction2}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{statusOpen2}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director writes a short report after any real incident or drill: what happened, what worked, what to fix, and who owns each fix. A page is enough. Corrective actions go straight into the risk register.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coordinator runs a brief after-action review, records strengths and gaps, and tracks corrective actions to closure with the director.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security role facilitates a structured after-action review, captures observations by severity, and drives corrective actions through the finding register, feeding lessons back into the incident response plan.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an after-action report may describe an incident involving criminal justice information reached in Indiana through IDACS. Apply the FBI CJIS Security Policy v5.9 and 240 IAC 5 to this record's handling and storage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NENA-STA-040.2-2024: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NIST SP 800-53 Rev. 5: CA-2, CA-7, IR-4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Indiana statutes and administrative code: HEA 1169 (2021), cyber incident reporting to IOT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CJIS Security Policy v5.9: §5.3 (Incident Response) (if CJIS-regulated data was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{facilitatorIrLeadRole}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{reviewerRole5}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Confirm this report draws its incident facts from the Incident Log / Register, that corrective actions are mirrored to the Risk / Finding Register rather than tracked twice, and that lessons feed the IRP Revision History / Update Log. Raise toward Confidential if the report names individuals as subjects.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If a provider handles CJIS-regulated data (reached in Indiana through IDACS), add the applicable CJIS Security Policy section to the Source Authority. Agency-supplied values in brackets: {agencyName}, assessor and owner roles, provider names, dates, risk ratings, findings, and monitoring methods.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After-Action Reports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