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0"/>
          <w:color w:val="1B3A5C"/>
          <w:sz w:val="40"/>
          <w:szCs w:val="40"/>
        </w:rPr>
        <w:t>Vendor Access Coordination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Procedure artifacts. Raise to Restricted when the procedure encodes defensive logic, isolation steps, or evidence handling.»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b w:val="0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procedure accomplishes and when it is performed. One or two sentences.»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This procedure sets out how vendor and contractor visits to the Agency’s equipment areas are pre-authorized, scheduled, escorted, and logged, so that physical access to critical infrastructure stays controlled and accountable.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the procedure covers and excludes; which systems or roles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Applies to: all vendor and contractor visits to equipment rooms and other restricted 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Covers: pre-authorization, identity verification, escorting, entry and exit logging, and the conditions for unescorted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Excludes: routine visitor access at public counters, and logical or remote vendor access, which is governed by the Third-Party Access Agreement.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must be true or in hand before starting: access, tools, approvals, prior steps.»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An approved vendor access request that names the work, the areas, and the escort.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The approved-vendor list (the Vendor &amp; Contractor Inventory) and the Visitor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The visit is approved under the Physical Access Control Policy before the vendor arrives.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«Steps in execution order. One action per step. Name the responsible role per step. Plain English.»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Pre-authorize the visit: the vendor submits a request; the approver confirms the work, scope, areas, and escort.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Director / Coordinator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Schedule and brief: confirm the date, the work scope, and the areas the vendor may enter.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IT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Verify identity on arrival: check government photo ID against the approved request before issuing a temporary badge.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Reception / on-duty supervisor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Assign an escort: an escort accompanies the vendor at all times in restricted equipment areas. Unescorted access is allowed only under the conditions stated in the Physical Access Control Policy.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Assigned escort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Log entry and exit: record every entry and exit in the Visitor Log, with time, escort, and areas accessed.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Assigned escort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6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Sign out and review: collect the badge, close out the visit, and review the log for anomalies.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Dispatch supervisor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the operator confirms the procedure worked. State the observable result, not the action.»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Every vendor visit has a completed Visitor Log entry and an assigned escort on record. Unescorted access appears only where the stated conditions are met.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«Reference dependent artifacts by their Tracker name. Point, do not restate.»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Physical Access Control Policy; Vendor &amp; Contractor Inventory; Visitor Log; Visitor Access Agreement Form.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The director approves each vendor visit by email, meets the vendor, verifies ID, escorts them throughout, and records the visit in a simple log.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Shared county IT schedules and approves visits, reception verifies ID and issues a temporary badge, and an assigned escort logs entry and exit.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A badging system issues time-boxed vendor credentials after ID verification, escorts are dispatched from a roster, and entry and exit are logged and reviewed.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NENA-STA-040.2-2024: §6.1 (Perimeter Security); §6.1.2 (Physical Access Authorizations); §6.1.7 (Identification Badges); §6.1.8 (Visitor Control)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NIST SP 800-53 Rev. 5: PE-2, PE-3, PE-6, PE-8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CJIS Security Policy v5.9: §5.9 (Physical Protection)  (where equipment areas hold CJIS-regulated systems)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 w:val="0"/>
                <w:bCs/>
                <w:i/>
                <w:iCs w:val="false"/>
                <w:color w:val="595959"/>
                <w:sz w:val="24"/>
                <w:szCs w:val="24"/>
              </w:rPr>
              <w:t>Drafter’s note (internal, delete before publishing): confirm who is authorized to approve vendor visits and the exact conditions under which unescorted access is permitted before finalizing.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Vendor Access Coordination Procedure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