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Third-Party Access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Party A: </w:t>
            </w:r>
            <w:r>
              <w:rPr>
                <w:rFonts w:ascii="Aptos" w:cs="Aptos" w:eastAsia="Aptos" w:hAnsi="Aptos"/>
                <w:sz w:val="24"/>
                <w:szCs w:val="24"/>
              </w:rPr>
              <w:t xml:space="preserve">{agencyName}, {roleTitle}</w:t>
            </w:r>
          </w:p>
          <w:p>
            <w:pPr>
              <w:spacing w:after="60"/>
            </w:pPr>
            <w:r>
              <w:rPr>
                <w:rFonts w:ascii="Aptos" w:cs="Aptos" w:eastAsia="Aptos" w:hAnsi="Aptos"/>
                <w:b/>
                <w:bCs/>
                <w:sz w:val="24"/>
                <w:szCs w:val="24"/>
              </w:rPr>
              <w:t xml:space="preserve">Party B: </w:t>
            </w:r>
            <w:r>
              <w:rPr>
                <w:rFonts w:ascii="Aptos" w:cs="Aptos" w:eastAsia="Aptos" w:hAnsi="Aptos"/>
                <w:sz w:val="24"/>
                <w:szCs w:val="24"/>
              </w:rPr>
              <w:t xml:space="preserve">{vendorName}, {authorizedRepresentative}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{effectiveDate2}</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 / CJIS</w:t>
            </w:r>
          </w:p>
          <w:p>
            <w:pPr>
              <w:spacing w:after="0"/>
            </w:pPr>
            <w:r>
              <w:rPr>
                <w:rFonts w:ascii="Aptos" w:cs="Aptos" w:eastAsia="Aptos" w:hAnsi="Aptos"/>
                <w:i/>
                <w:iCs/>
                <w:color w:val="595959"/>
                <w:sz w:val="24"/>
                <w:szCs w:val="24"/>
              </w:rPr>
              <w:t xml:space="preserve">«Raised to Restricted / CJIS because this agreement governs vendor access to systems carrying CJIS-regulated data (in Indiana, via IDACS). A signed copy that names individuals is handled as Confidential.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agreement binds a vendor or contractor with access to Agency systems or data to a defined access scope and to security obligations. Complete one per vendor. Replace every [BRACKETED] field, follow the « » guidance, and delete every « » note and this box before you sign.</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Keep the terms specific and enforceable. Tie the vendor to its row in the Vendor &amp; Contractor Inventory, and store the signed original per the Document Handling Standard.</w:t>
            </w:r>
          </w:p>
        </w:tc>
      </w:tr>
    </w:tbl>
    <w:p>
      <w:pPr>
        <w:pStyle w:val="Heading2"/>
      </w:pPr>
      <w:r>
        <w:t xml:space="preserve">1. Purpose</w:t>
      </w:r>
    </w:p>
    <w:p>
      <w:pPr>
        <w:spacing w:after="120"/>
      </w:pPr>
      <w:r>
        <w:rPr>
          <w:rFonts w:ascii="Aptos" w:cs="Aptos" w:eastAsia="Aptos" w:hAnsi="Aptos"/>
          <w:i/>
          <w:iCs/>
          <w:color w:val="595959"/>
          <w:sz w:val="24"/>
          <w:szCs w:val="24"/>
        </w:rPr>
        <w:t xml:space="preserve">«What this agreement establishes and why the parties enter it. One or two sentences.»</w:t>
      </w:r>
    </w:p>
    <w:p>
      <w:pPr>
        <w:spacing w:after="120"/>
      </w:pPr>
      <w:r>
        <w:rPr>
          <w:rFonts w:ascii="Aptos" w:cs="Aptos" w:eastAsia="Aptos" w:hAnsi="Aptos"/>
          <w:sz w:val="24"/>
          <w:szCs w:val="24"/>
        </w:rPr>
        <w:t xml:space="preserve">This agreement sets the terms under which {vendorName2} is granted access to Agency systems or data, and the security obligations that access carries. It applies for the life of the vendor relationship and is retained as evidence that the obligations were accepted.</w:t>
      </w:r>
    </w:p>
    <w:p>
      <w:pPr>
        <w:pStyle w:val="Heading2"/>
      </w:pPr>
      <w:r>
        <w:t xml:space="preserve">2. Terms and Requirements</w:t>
      </w:r>
    </w:p>
    <w:p>
      <w:pPr>
        <w:spacing w:after="120"/>
      </w:pPr>
      <w:r>
        <w:rPr>
          <w:rFonts w:ascii="Aptos" w:cs="Aptos" w:eastAsia="Aptos" w:hAnsi="Aptos"/>
          <w:i/>
          <w:iCs/>
          <w:color w:val="595959"/>
          <w:sz w:val="24"/>
          <w:szCs w:val="24"/>
        </w:rPr>
        <w:t xml:space="preserve">«The binding obligations, as numbered terms. State which party owns each. Be specific about timing and thresholds.»</w:t>
      </w:r>
    </w:p>
    <w:p>
      <w:pPr>
        <w:pStyle w:val="ListParagraph"/>
        <w:numPr>
          <w:ilvl w:val="0"/>
          <w:numId w:val="300"/>
        </w:numPr>
        <w:spacing w:after="60"/>
      </w:pPr>
      <w:r>
        <w:rPr>
          <w:rFonts w:ascii="Aptos" w:cs="Aptos" w:eastAsia="Aptos" w:hAnsi="Aptos"/>
          <w:sz w:val="24"/>
          <w:szCs w:val="24"/>
        </w:rPr>
        <w:t xml:space="preserve">Access scope: {vendorName3} is granted access only to the systems, data, and functions listed in [Appendix A / the Vendor &amp; Contractor Inventory entry], for the purpose of [stated service], and to no others.</w:t>
      </w:r>
    </w:p>
    <w:p>
      <w:pPr>
        <w:pStyle w:val="ListParagraph"/>
        <w:numPr>
          <w:ilvl w:val="0"/>
          <w:numId w:val="300"/>
        </w:numPr>
        <w:spacing w:after="60"/>
      </w:pPr>
      <w:r>
        <w:rPr>
          <w:rFonts w:ascii="Aptos" w:cs="Aptos" w:eastAsia="Aptos" w:hAnsi="Aptos"/>
          <w:sz w:val="24"/>
          <w:szCs w:val="24"/>
        </w:rPr>
        <w:t xml:space="preserve">Least privilege: {vendorName4} accounts carry only the privileges the service requires, and are disabled or removed when the task or engagement ends.</w:t>
      </w:r>
    </w:p>
    <w:p>
      <w:pPr>
        <w:pStyle w:val="ListParagraph"/>
        <w:numPr>
          <w:ilvl w:val="0"/>
          <w:numId w:val="300"/>
        </w:numPr>
        <w:spacing w:after="60"/>
      </w:pPr>
      <w:r>
        <w:rPr>
          <w:rFonts w:ascii="Aptos" w:cs="Aptos" w:eastAsia="Aptos" w:hAnsi="Aptos"/>
          <w:sz w:val="24"/>
          <w:szCs w:val="24"/>
        </w:rPr>
        <w:t xml:space="preserve">Authentication and connection: {vendorName5} personnel use multifactor authentication and connect only through the Agency’s approved remote-access methods, per the Remote Access Policy.</w:t>
      </w:r>
    </w:p>
    <w:p>
      <w:pPr>
        <w:pStyle w:val="ListParagraph"/>
        <w:numPr>
          <w:ilvl w:val="0"/>
          <w:numId w:val="300"/>
        </w:numPr>
        <w:spacing w:after="60"/>
      </w:pPr>
      <w:r>
        <w:rPr>
          <w:rFonts w:ascii="Aptos" w:cs="Aptos" w:eastAsia="Aptos" w:hAnsi="Aptos"/>
          <w:sz w:val="24"/>
          <w:szCs w:val="24"/>
        </w:rPr>
        <w:t xml:space="preserve">Personnel screening: {vendorName6} confirms that personnel with access have completed the background screening the Agency requires, and removes access for any individual who leaves the engagement.</w:t>
      </w:r>
    </w:p>
    <w:p>
      <w:pPr>
        <w:pStyle w:val="ListParagraph"/>
        <w:numPr>
          <w:ilvl w:val="0"/>
          <w:numId w:val="300"/>
        </w:numPr>
        <w:spacing w:after="60"/>
      </w:pPr>
      <w:r>
        <w:rPr>
          <w:rFonts w:ascii="Aptos" w:cs="Aptos" w:eastAsia="Aptos" w:hAnsi="Aptos"/>
          <w:sz w:val="24"/>
          <w:szCs w:val="24"/>
        </w:rPr>
        <w:t xml:space="preserve">Security practices: {vendorName7} maintains [stated minimum security practices] and does not store, copy, or transmit Agency or CJIS data except as the service requires and this agreement permits.</w:t>
      </w:r>
    </w:p>
    <w:p>
      <w:pPr>
        <w:pStyle w:val="ListParagraph"/>
        <w:numPr>
          <w:ilvl w:val="0"/>
          <w:numId w:val="300"/>
        </w:numPr>
        <w:spacing w:after="60"/>
      </w:pPr>
      <w:r>
        <w:rPr>
          <w:rFonts w:ascii="Aptos" w:cs="Aptos" w:eastAsia="Aptos" w:hAnsi="Aptos"/>
          <w:sz w:val="24"/>
          <w:szCs w:val="24"/>
        </w:rPr>
        <w:t xml:space="preserve">Incident and breach notification: {vendorName8} notifies the Agency of any suspected security incident or data exposure affecting Agency systems or data without undue delay and no later than {timeframe}. The Agency reports qualifying cyber incidents to the Indiana Office of Technology within two business days under HEA 1169.</w:t>
      </w:r>
    </w:p>
    <w:p>
      <w:pPr>
        <w:pStyle w:val="ListParagraph"/>
        <w:numPr>
          <w:ilvl w:val="0"/>
          <w:numId w:val="300"/>
        </w:numPr>
        <w:spacing w:after="60"/>
      </w:pPr>
      <w:r>
        <w:rPr>
          <w:rFonts w:ascii="Aptos" w:cs="Aptos" w:eastAsia="Aptos" w:hAnsi="Aptos"/>
          <w:sz w:val="24"/>
          <w:szCs w:val="24"/>
        </w:rPr>
        <w:t xml:space="preserve">Monitoring and audit: {vendorName9} consents to Agency logging and monitoring of its access, and to periodic review of its compliance with this agreement.</w:t>
      </w:r>
    </w:p>
    <w:p>
      <w:pPr>
        <w:pStyle w:val="ListParagraph"/>
        <w:numPr>
          <w:ilvl w:val="0"/>
          <w:numId w:val="300"/>
        </w:numPr>
        <w:spacing w:after="60"/>
      </w:pPr>
      <w:r>
        <w:rPr>
          <w:rFonts w:ascii="Aptos" w:cs="Aptos" w:eastAsia="Aptos" w:hAnsi="Aptos"/>
          <w:sz w:val="24"/>
          <w:szCs w:val="24"/>
        </w:rPr>
        <w:t xml:space="preserve">CJIS handling: where access reaches CJIS-regulated data (in Indiana, through IDACS), {vendorName10} complies with the FBI CJIS Security Policy, including personnel screening and security awareness training, in addition to the terms above.</w:t>
      </w:r>
    </w:p>
    <w:p>
      <w:pPr>
        <w:pStyle w:val="ListParagraph"/>
        <w:numPr>
          <w:ilvl w:val="0"/>
          <w:numId w:val="300"/>
        </w:numPr>
        <w:spacing w:after="60"/>
      </w:pPr>
      <w:r>
        <w:rPr>
          <w:rFonts w:ascii="Aptos" w:cs="Aptos" w:eastAsia="Aptos" w:hAnsi="Aptos"/>
          <w:sz w:val="24"/>
          <w:szCs w:val="24"/>
        </w:rPr>
        <w:t xml:space="preserve">Return and destruction: on termination, {vendorName11} returns or destroys Agency and CJIS data in its possession and confirms destruction in writing, per the Document Handling Standard.</w:t>
      </w:r>
    </w:p>
    <w:p>
      <w:pPr>
        <w:pStyle w:val="ListParagraph"/>
        <w:numPr>
          <w:ilvl w:val="0"/>
          <w:numId w:val="300"/>
        </w:numPr>
        <w:spacing w:after="60"/>
      </w:pPr>
      <w:r>
        <w:rPr>
          <w:rFonts w:ascii="Aptos" w:cs="Aptos" w:eastAsia="Aptos" w:hAnsi="Aptos"/>
          <w:sz w:val="24"/>
          <w:szCs w:val="24"/>
        </w:rPr>
        <w:t xml:space="preserve">Term and termination: this agreement remains in effect for {term} and may be ended by either party on {notice}; the Agency may suspend access immediately for cause.</w:t>
      </w:r>
    </w:p>
    <w:p>
      <w:pPr>
        <w:pStyle w:val="Heading2"/>
      </w:pPr>
      <w:r>
        <w:t xml:space="preserve">3. Signatures</w:t>
      </w:r>
    </w:p>
    <w:p>
      <w:pPr>
        <w:spacing w:after="120"/>
      </w:pPr>
      <w:r>
        <w:rPr>
          <w:rFonts w:ascii="Aptos" w:cs="Aptos" w:eastAsia="Aptos" w:hAnsi="Aptos"/>
          <w:i/>
          <w:iCs/>
          <w:color w:val="595959"/>
          <w:sz w:val="24"/>
          <w:szCs w:val="24"/>
        </w:rPr>
        <w:t xml:space="preserve">«Each party signs and dates. Roles, with named individuals only on the signed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60"/>
        <w:gridCol w:w="2160"/>
        <w:gridCol w:w="1740"/>
        <w:gridCol w:w="1600"/>
      </w:tblGrid>
      <w:tr>
        <w:trPr>
          <w:cantSplit/>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17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{partyA}</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{partyB}</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pPr>
      <w:r>
        <w:t xml:space="preserve">4. Retention</w:t>
      </w:r>
    </w:p>
    <w:p>
      <w:pPr>
        <w:spacing w:after="120"/>
      </w:pPr>
      <w:r>
        <w:rPr>
          <w:rFonts w:ascii="Aptos" w:cs="Aptos" w:eastAsia="Aptos" w:hAnsi="Aptos"/>
          <w:i/>
          <w:iCs/>
          <w:color w:val="595959"/>
          <w:sz w:val="24"/>
          <w:szCs w:val="24"/>
        </w:rPr>
        <w:t xml:space="preserve">«Where the signed original is kept, by whom, and for how long. Align with the Document Handling Standard.»</w:t>
      </w:r>
    </w:p>
    <w:p>
      <w:pPr>
        <w:spacing w:after="120"/>
      </w:pPr>
      <w:r>
        <w:rPr>
          <w:rFonts w:ascii="Aptos" w:cs="Aptos" w:eastAsia="Aptos" w:hAnsi="Aptos"/>
          <w:sz w:val="24"/>
          <w:szCs w:val="24"/>
        </w:rPr>
        <w:t xml:space="preserve">The signed original is kept by the {ownerRole} for the life of the vendor relationship plus {period}, stored and handled per the Document Handling Standard. A copy is linked to the vendor’s entry in the Vendor &amp; Contractor Inventory.</w:t>
      </w:r>
    </w:p>
    <w:p>
      <w:pPr>
        <w:pStyle w:val="Heading2"/>
      </w:pPr>
      <w: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One signed agreement per vendor, kept in the director’s vendor file. For a single CAD or ESInet vendor, the standard terms here are enough; the director confirms screening and revokes access when a contract ends.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and the security coordinator track agreements against the Vendor &amp; Contractor Inventory and review them at renewal. Standard security terms are attached to each contract.</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Procurement and the security team hold agreements centrally, tie them to vendor risk assessments, and verify CJIS and screening obligations before access is provisioned.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§5.2 (Security Assessments); §6.2.1 (Account Management)</w:t>
            </w:r>
          </w:p>
          <w:p>
            <w:pPr>
              <w:spacing w:after="40"/>
            </w:pPr>
            <w:r>
              <w:rPr>
                <w:rFonts w:ascii="Aptos" w:cs="Aptos" w:eastAsia="Aptos" w:hAnsi="Aptos"/>
                <w:sz w:val="24"/>
                <w:szCs w:val="24"/>
              </w:rPr>
              <w:t xml:space="preserve">NIST SP 800-53 Rev. 5: AC-20, CA-3, PS-7, SA-9, SR-3</w:t>
            </w:r>
          </w:p>
          <w:p>
            <w:pPr>
              <w:spacing w:after="40"/>
            </w:pPr>
            <w:r>
              <w:rPr>
                <w:rFonts w:ascii="Aptos" w:cs="Aptos" w:eastAsia="Aptos" w:hAnsi="Aptos"/>
                <w:sz w:val="24"/>
                <w:szCs w:val="24"/>
              </w:rPr>
              <w:t xml:space="preserve">Indiana statutes and administrative code: HEA 1169 (2021): Cyber Incident Reporting to IOT; 240 IAC 5: IDACS Security</w:t>
            </w:r>
          </w:p>
          <w:p>
            <w:pPr>
              <w:spacing w:after="0"/>
            </w:pPr>
            <w:r>
              <w:rPr>
                <w:rFonts w:ascii="Aptos" w:cs="Aptos" w:eastAsia="Aptos" w:hAnsi="Aptos"/>
                <w:sz w:val="24"/>
                <w:szCs w:val="24"/>
              </w:rPr>
              <w:t xml:space="preserve">CJIS Security Policy v5.9: §5.1 (Information Exchange Agreements); §5.12 (Personnel Security) (CJIS-regulated data in scope, via IDACS)</w:t>
            </w:r>
          </w:p>
        </w:tc>
      </w:tr>
    </w:tbl>
    <w:p>
      <w:pPr>
        <w:pStyle w:val="Heading2"/>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rPr>
          <w:cantSplit/>
        </w:trP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{effectiveDate3}</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NENA-STA-040.2-2024 has no dedicated third-party section; cited here against §5.2 (assessments) and §6.2.1 (vendor account management); confirm the precise sub-clause. Restricted / CJIS floor applies because the agreement governs vendor access to CJIS-regulated systems via IDACS; a signed copy naming individuals is handled as Confidential. The CJIS obligation is carried as Term 8 because the Agreement / Form shell has no CJIS Handling Addendum. Each agreement ties to a row in the Vendor &amp; Contractor Inventory and is retained per the Document Handling Standard. [Confirm the breach-notification timeframe and the Agency’s minimum vendor security practices.]</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 w:numId="30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2026-06-01T15:29:11.513Z</dcterms:created>
  <dcterms:modified xsi:type="dcterms:W3CDTF">2026-06-01T15:29:11.513Z</dcterms:modified>
  <dc:title xmlns:dc="http://purl.org/dc/elements/1.1/">Third-Party Access Agreement - FORM</dc:title>
</cp:coreProperties>
</file>

<file path=docProps/custom.xml><?xml version="1.0" encoding="utf-8"?>
<Properties xmlns="http://schemas.openxmlformats.org/officeDocument/2006/custom-properties" xmlns:vt="http://schemas.openxmlformats.org/officeDocument/2006/docPropsVTypes"/>
</file>