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Network Monitoring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hAnsi="Aptos"/>
                <w:color w:val="595959"/>
                <w:sz w:val="24"/>
              </w:rPr>
              <w:t xml:space="preserve">«Minimum for Policy artifacts. Stays Internal because it states monitoring requirements; the as-built rules live in the Firewall Ruleset Documentation and the IDS/IPS Configuration Records.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This policy defines what network traffic the Agency monitors, what counts as an alert, who is notified, and the default-deny and rate-limiting controls it requires. It governs IDS/IPS use and device-to-device connections.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24"/>
              </w:rPr>
              <w:t xml:space="preserve">Placeholder key: </w:t>
            </w:r>
            <w:r>
              <w:rPr>
                <w:rFonts w:ascii="Aptos" w:hAnsi="Aptos"/>
                <w:b w:val="0"/>
                <w:sz w:val="24"/>
              </w:rPr>
              <w:t>[BRACKETED]</w:t>
            </w:r>
            <w:r>
              <w:rPr>
                <w:rFonts w:ascii="Aptos" w:hAnsi="Aptos"/>
                <w:b w:val="0"/>
                <w:sz w:val="24"/>
              </w:rPr>
              <w:t xml:space="preserve"> = fill in   ·   </w:t>
            </w:r>
            <w:r>
              <w:rPr>
                <w:rFonts w:ascii="Aptos" w:hAnsi="Aptos"/>
                <w:b/>
                <w:sz w:val="24"/>
              </w:rPr>
              <w:t>[REQUIRED]</w:t>
            </w:r>
            <w:r>
              <w:rPr>
                <w:rFonts w:ascii="Aptos" w:hAnsi="Aptos"/>
                <w:b w:val="0"/>
                <w:sz w:val="24"/>
              </w:rPr>
              <w:t xml:space="preserve"> (bold) = required field   ·   </w:t>
            </w:r>
            <w:r>
              <w:rPr>
                <w:rFonts w:ascii="Aptos" w:hAnsi="Aptos"/>
                <w:b w:val="0"/>
                <w:color w:val="595959"/>
                <w:sz w:val="24"/>
              </w:rPr>
              <w:t>« »</w:t>
            </w:r>
            <w:r>
              <w:rPr>
                <w:rFonts w:ascii="Aptos" w:hAnsi="Aptos"/>
                <w:b w:val="0"/>
                <w:sz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This policy states requirements. The as-built rules live in the Firewall Ruleset Documentation and the IDS/IPS Configuration Records; denial-of-service response and continuity live in the TDoS / DoS Response Procedure.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monitors its network for threats and enforces safe traffic controls: what is watched, what raises an alert, who responds, and a baseline posture of default-deny with rate limiting at the edge. It states requirements; other artifacts hold the configured rules and the incident response.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network infrastructure, the traffic crossing it, and the personnel and vendors who monitor or administer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traffic monitoring and alerting, default-deny boundaries, rate limiting and traffic shaping (including denial-of-service and resource-exhaustion defenses and their testing), IDS/IPS use, and control of device-to-device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the as-built firewall and IDS/IPS configurations, held in the Firewall Ruleset Documentation and the IDS/IPS Configuration Records; and denial-of-service response and continuity, held in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Alert: a monitored event or pattern the Agency has defined as warranting review or response.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Default-deny: a posture that blocks all traffic unless a rule explicitly allows it.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limiting: capping the volume or rate of traffic to blunt denial-of-service and resource-exhaustion attacks.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monitor network traffic at its boundaries and key internal points for signs of intrusion, misuse, and abnormal volume.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Network boundaries shall operate default-deny: traffic is blocked unless a rule explicitly permits it, and policy violations are logged and reviewed.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define what constitutes an alert, who is notified, and the expected response time, and shall route alerts to the Alert Triage &amp; Escalation Procedure.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 and traffic shaping shall be applied at key ingress and egress points to defend against denial-of-service and resource-exhaustion attacks, and these defenses shall be tested on a defined cadence, with results recorded and deficiencies tracked.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Intrusion detection and prevention shall be used and kept current; its configuration is documented in the IDS/IPS Configuration Records.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Direct device-to-device connections shall be disabled or tightly managed, logged, and validated to prevent unauthorized data exchange.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Denial-of-service response and service continuity are handled under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sets alert definitions and notification paths,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monitoring, default-deny boundaries, rate limiting, and IDS/IPS, and records the as-built state.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alerts, tunes thresholds, and escalates confirmed threats.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{allPersonnel}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 unusual network behavior and do not bypass network controls.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{directorName} monitors compliance. Traffic controls that are disabled or bypassed are restored,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{directorName}, must state the control affected and a compensating measure, and expire after {period}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network, by the {ownerRole}.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Adopt as written. With no in-house IT, rely on the firewall and router the county or vendor provides: enable default-deny, turn on the logging and alerting they support, and have the vendor confirm rate limiting is in place and test thresholds and alerts at least annually.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runs monitoring and alerting, maintains default-deny rulesets, and tests denial-of-service defenses on a set cadence; the security coordinator reviews alerts.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 security team monitors traffic continuously through IDS/IPS and a SIEM, enforces default-deny and rate limiting at every boundary, and runs scheduled denial-of-service tests with recorded results.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AC-4, SC-5, SC-7, SI-4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Drafter’s note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Network Monitoring Policy for category 4.B. Internal because it states monitoring requirements; the as-built rules are in the Firewall Ruleset Documentation and the IDS/IPS Configuration Records, and denial-of-service response is in the TDoS / DoS Response Procedure. Statement 4 carries the rate-limiting and denial-of-service testing requirement and cadence (the test-regularly half of the assessment); the response procedure exercises it. Keep specific thresholds out of the policy to hold Internal. Cross-referenced by Tracker name: Network Architecture Diagram, Firewall Ruleset Documentation, Network Segmentation Design Document, IDS/IPS Configuration Records, Alert Triage &amp; Escalation Procedure, TDoS / DoS Response Procedure. Confirm the precise NENA clause and the Agency's testing cadence.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Network Monitoring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