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DNS Filtering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hAnsi="Aptos"/>
                <w:color w:val="595959"/>
                <w:sz w:val="24"/>
              </w:rPr>
              <w:t xml:space="preserve">«Minimum for Policy artifacts. Scoped to protective DNS filtering; DNS technical configuration lives in the DNS Security Configuration Record.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 xml:space="preserve">This policy governs protective DNS filtering: which categories are blocked, how allow and deny requests are handled, and how the filtering is reviewed. It is scoped to filtering only.</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 xml:space="preserve">DNS technical configuration (service separation, DNSSEC, secure baseline, logging) is held in the DNS Security Configuration Record, and DNS change governance runs through the Change Management Policy.</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 xml:space="preserve">This policy sets how the Agency uses protective DNS filtering to block access to malicious and disallowed destinations. It governs what is filtered and how exceptions are handled; the technical DNS configuration is documented separately.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 xml:space="preserve">Applies to: DNS resolution for all Agency devices and the personnel who manage the filtering service.</w:t>
      </w:r>
    </w:p>
    <w:p>
      <w:pPr>
        <w:pStyle w:val="ListParagraph"/>
        <w:numPr>
          <w:ilvl w:val="0"/>
          <w:numId w:val="2"/>
        </w:numPr>
        <w:spacing w:after="60"/>
      </w:pPr>
      <w:r>
        <w:rPr>
          <w:rFonts w:ascii="Aptos" w:cs="Aptos" w:eastAsia="Aptos" w:hAnsi="Aptos"/>
          <w:b w:val="0"/>
          <w:bCs w:val="false"/>
          <w:i w:val="false"/>
          <w:iCs w:val="false"/>
          <w:sz w:val="24"/>
          <w:szCs w:val="24"/>
        </w:rPr>
        <w:t xml:space="preserve">Covers: the categories of destinations blocked, how allow and deny requests are approved and recorded, and the review of filtering effectiveness.</w:t>
      </w:r>
    </w:p>
    <w:p>
      <w:pPr>
        <w:pStyle w:val="ListParagraph"/>
        <w:numPr>
          <w:ilvl w:val="0"/>
          <w:numId w:val="2"/>
        </w:numPr>
        <w:spacing w:after="60"/>
      </w:pPr>
      <w:r>
        <w:rPr>
          <w:rFonts w:ascii="Aptos" w:cs="Aptos" w:eastAsia="Aptos" w:hAnsi="Aptos"/>
          <w:b w:val="0"/>
          <w:bCs w:val="false"/>
          <w:i w:val="false"/>
          <w:iCs w:val="false"/>
          <w:sz w:val="24"/>
          <w:szCs w:val="24"/>
        </w:rPr>
        <w:t xml:space="preserve">Excludes: DNS service configuration and security (separation, DNSSEC, logging), held in the DNS Security Configuration Record; and DNS change governance, held in the Change Management Policy.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 xml:space="preserve">Protective DNS: a resolver that blocks queries to known-malicious or disallowed domains.</w:t>
      </w:r>
    </w:p>
    <w:p>
      <w:pPr>
        <w:spacing w:after="120" w:before="0"/>
      </w:pPr>
      <w:r>
        <w:rPr>
          <w:rFonts w:ascii="Aptos" w:cs="Aptos" w:eastAsia="Aptos" w:hAnsi="Aptos"/>
          <w:b w:val="0"/>
          <w:bCs w:val="false"/>
          <w:i w:val="false"/>
          <w:iCs w:val="false"/>
          <w:sz w:val="24"/>
          <w:szCs w:val="24"/>
        </w:rPr>
        <w:t xml:space="preserve">Blocked category: a class of destinations (for example malware, phishing, or disallowed content) the Agency filters.</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b w:val="0"/>
          <w:bCs w:val="false"/>
          <w:i w:val="false"/>
          <w:iCs w:val="false"/>
          <w:sz w:val="24"/>
          <w:szCs w:val="24"/>
        </w:rPr>
        <w:t xml:space="preserve">The Agency shall resolve DNS through a protective filtering service that blocks known-malicious and disallowed destinations.</w:t>
      </w:r>
    </w:p>
    <w:p>
      <w:pPr>
        <w:pStyle w:val="ListParagraph"/>
        <w:numPr>
          <w:ilvl w:val="0"/>
          <w:numId w:val="300"/>
        </w:numPr>
        <w:spacing w:after="60"/>
      </w:pPr>
      <w:r>
        <w:rPr>
          <w:rFonts w:ascii="Aptos" w:cs="Aptos" w:eastAsia="Aptos" w:hAnsi="Aptos"/>
          <w:b w:val="0"/>
          <w:bCs w:val="false"/>
          <w:i w:val="false"/>
          <w:iCs w:val="false"/>
          <w:sz w:val="24"/>
          <w:szCs w:val="24"/>
        </w:rPr>
        <w:t xml:space="preserve">The Agency shall define the categories it blocks and review them on a set cadence.</w:t>
      </w:r>
    </w:p>
    <w:p>
      <w:pPr>
        <w:pStyle w:val="ListParagraph"/>
        <w:numPr>
          <w:ilvl w:val="0"/>
          <w:numId w:val="300"/>
        </w:numPr>
        <w:spacing w:after="60"/>
      </w:pPr>
      <w:r>
        <w:rPr>
          <w:rFonts w:ascii="Aptos" w:cs="Aptos" w:eastAsia="Aptos" w:hAnsi="Aptos"/>
          <w:b w:val="0"/>
          <w:bCs w:val="false"/>
          <w:i w:val="false"/>
          <w:iCs w:val="false"/>
          <w:sz w:val="24"/>
          <w:szCs w:val="24"/>
        </w:rPr>
        <w:t xml:space="preserve">Requests to allow or deny a specific destination shall be approved by the {ownerRole} and recorded, with a stated reason.</w:t>
      </w:r>
    </w:p>
    <w:p>
      <w:pPr>
        <w:pStyle w:val="ListParagraph"/>
        <w:numPr>
          <w:ilvl w:val="0"/>
          <w:numId w:val="300"/>
        </w:numPr>
        <w:spacing w:after="60"/>
      </w:pPr>
      <w:r>
        <w:rPr>
          <w:rFonts w:ascii="Aptos" w:cs="Aptos" w:eastAsia="Aptos" w:hAnsi="Aptos"/>
          <w:b w:val="0"/>
          <w:bCs w:val="false"/>
          <w:i w:val="false"/>
          <w:iCs w:val="false"/>
          <w:sz w:val="24"/>
          <w:szCs w:val="24"/>
        </w:rPr>
        <w:t xml:space="preserve">Blocked-query events shall be logged and reviewed for signs of compromise, and confirmed threats are handled under the Incident Response Plan.</w:t>
      </w:r>
    </w:p>
    <w:p>
      <w:pPr>
        <w:pStyle w:val="ListParagraph"/>
        <w:numPr>
          <w:ilvl w:val="0"/>
          <w:numId w:val="300"/>
        </w:numPr>
        <w:spacing w:after="60"/>
      </w:pPr>
      <w:r>
        <w:rPr>
          <w:rFonts w:ascii="Aptos" w:cs="Aptos" w:eastAsia="Aptos" w:hAnsi="Aptos"/>
          <w:b w:val="0"/>
          <w:bCs w:val="false"/>
          <w:i w:val="false"/>
          <w:iCs w:val="false"/>
          <w:sz w:val="24"/>
          <w:szCs w:val="24"/>
        </w:rPr>
        <w:t xml:space="preserve">The filtering service shall not be bypassed; devices that resolve DNS outside it are brought back into policy.</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Owns this policy, approves the blocked-category set,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Operates the filtering service and applies approved allow and deny changes.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{securityCoordinator}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Reviews blocked-query activity and escalates suspected compromise.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Use the Agency's DNS and report over-blocking or suspected bypass.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 xml:space="preserve">The {directorName} monitors compliance. Devices that bypass protective DNS are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 xml:space="preserve">Exceptions require written approval from the {directorName}, must state the destination and the reason, and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 xml:space="preserve">This policy is reviewed at least annually and after any significant change to the Agency's DNS or filtering service, by the {ownerRole2}.</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Adopt as written. Use a hosted protective DNS service, point the router or devices at it, accept its default block categories, and have the director approve any exceptions. Review the blocked-query summary the service provides periodically.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Shared county IT runs the filtering service, maintains the block categories and the allow and deny list, and reviews blocked-query activity with the security coordinator.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Filtering is enforced network-wide with tuned categories, an approval workflow for allow and deny changes, and blocked-query logs fed to the SIEM for review.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 xml:space="preserve">NENA-STA-040.2-2024: §5.6.4 (Intrusion Monitoring and Detection)</w:t>
            </w:r>
          </w:p>
          <w:p>
            <w:pPr>
              <w:spacing w:after="140"/>
            </w:pPr>
            <w:r>
              <w:rPr>
                <w:rFonts w:ascii="Aptos" w:hAnsi="Aptos"/>
                <w:b w:val="0"/>
                <w:sz w:val="24"/>
              </w:rPr>
              <w:t xml:space="preserve">NIST SP 800-53 Rev. 5: SC-7, SC-20, SC-21, SI-4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 xml:space="preserve">DNS Filtering Policy for category 4.C. Scoped to protective filtering only; the DNS technical configuration (authoritative and recursive separation, DNSSEC or encrypted DNS, secure baseline, admin MFA, query logging) is held in the DNS Security Configuration Record, and DNS change governance runs through the Change Management Policy. The assessment 4C-1 technical detail is answered by the DNS Security Configuration Record; this policy is the governance layer. Cross-referenced by Tracker name: DNS Security Configuration Record, Change Management Policy, Incident Response Plan. Confirm the precise NENA clause and the Agency's block-category set.</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DNS Filtering Policy - FORM</dc:title>
</cp:coreProperties>
</file>

<file path=docProps/custom.xml><?xml version="1.0" encoding="utf-8"?>
<Properties xmlns="http://schemas.openxmlformats.org/officeDocument/2006/custom-properties" xmlns:vt="http://schemas.openxmlformats.org/officeDocument/2006/docPropsVTypes"/>
</file>