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sz w:val="40"/>
          <w:szCs w:val="40"/>
        </w:rPr>
        <w:t xml:space="preserve">Endpoint Hardening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«Minimum for this hardening checklist is Restricted: a completed copy maps the soft spots of a specific device. Raise to Confidential if a populated copy names individuals.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{reviewerRole}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{effectiveDate3}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Device class: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{deviceClass}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Asset ID: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{fromTheMasterAssetInventory}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System / device: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{systemOrDeviceAssessed}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i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/>
                <w:i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This template is ready to adopt. Replace every [BRACKETED] field with your agency’s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/>
                <w:i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/>
                <w:i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6"/>
          <w:szCs w:val="26"/>
        </w:rPr>
        <w:t xml:space="preserve">1. Hardening Checklist</w:t>
      </w:r>
    </w:p>
    <w:p>
      <w:pPr>
        <w:spacing w:after="140"/>
      </w:pPr>
      <w:r>
        <w:rPr>
          <w:rFonts w:ascii="Aptos" w:cs="Aptos" w:eastAsia="Aptos" w:hAnsi="Aptos"/>
          <w:i/>
          <w:color w:val="595959"/>
          <w:sz w:val="24"/>
          <w:szCs w:val="24"/>
        </w:rPr>
        <w:t xml:space="preserve">«Run this checklist per device. Mark Y, N, or NA for every item and record evidence on each line. Control rows trace to the System Configuration Baselines.»</w:t>
      </w:r>
    </w:p>
    <w:p>
      <w:pPr>
        <w:spacing w:after="140"/>
      </w:pPr>
      <w:r>
        <w:rPr>
          <w:rFonts w:ascii="Aptos" w:hAnsi="Aptos" w:cs="Aptos"/>
          <w:sz w:val="24"/>
          <w:szCs w:val="24"/>
        </w:rPr>
        <w:t xml:space="preserve">Every device completes Band 1A. Email servers also complete Band 1B. VoIP, SIP/RTP, and multimedia-ingestion servers also complete Band 1C. Items in a band that does not apply are marked NA.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1A. General Endpoint Hardening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Unnecessary services, ports, and protocols are disabled (least functionality).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Default and sample accounts are removed or disabled, and default passwords are changed.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{evidenceNote2}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Anti-malware or EDR is installed, running, and current (recorded in the Endpoint Security Software Inventory).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{evidenceNote3}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host firewall is enabled and set to the approved baseline.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{evidenceNote4}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screen locks after {lockTimeout} minutes of inactivity and requires re-authentication.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{evidenceNote5}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operating system and applications are patched to the current approved level.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{evidenceNote6}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Full-disk encryption is enabled on devices that hold or access sensitive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{evidenceNote7}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Automatic script and macro execution is restricted (for example, blocked Office macros, no removable-media autorun).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{evidenceNote8}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configuration matches the System Configuration Baselines for this device type.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{evidenceNote9}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1B. Email-Server Hardening (email servers and gateways)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SPF is published and enforced for the Agency’s sending domains.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{evidenceNote10}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DKIM signing is enabled and the keys are valid.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{evidenceNote11}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DMARC is published with an enforcing policy (quarantine or reject).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{evidenceNote12}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TLS is required for inbound and outbound mail transport.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{evidenceNote13}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Open relay is disabled and authentication is required to send.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{evidenceNote14}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Spam and malware filtering is enabled and current.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{evidenceNote15}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1C. VoIP / Multimedia-Server Hardening (VoIP, SIP/RTP, multimedia-ingestion servers)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signaling is encrypted (SIP over TLS) where the platform and providers support it.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{evidenceNote16}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Media is encrypted (SRTP) for sensitive call content where supported.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{evidenceNote17}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services are limited to required ports and interfaces, and unused codecs and services are disabled.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{evidenceNote18}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Inbound file and multimedia handling is sandboxed or filtered (see the Multimedia &amp; File Ingestion Sanitization Procedure).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{evidenceNote19}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Administrative interfaces are not exposed to untrusted networks.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{evidenceNote20}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Boundary protection (session border controller or equivalent) is in place.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 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{evidenceNote21}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to do when an item is marked N: who is notified, how it is recorded (link the Risk / Finding Register), and the timeframe.»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When an item is marked N, the {directorName} is notified, the gap is recorded in the Risk / Finding Register with a remediation owner and date, and the device is reassessed after remediation. A high-risk gap on a critical system is escalated immediately.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Run the checklist by hand on each device at setup and at each review; usually the director or county IT completes it. Bands 1B and 1C apply only if the Agency runs its own email or VoIP/multimedia servers, which many small centers do not; mark those NA.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IT runs the checklist on new and existing devices on a set cadence, draws control rows from the System Configuration Baselines, and files completed checklists with the configuration records.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Push the baseline through managed configuration, scan for drift, and use the checklist as the point-in-time record. The security role reviews exceptions.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NENA-STA-040.2-2024: §6.19, §6.20, §6.21, §6.23.4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NIST SP 800-53 Rev. 5: CM-2, CM-6, CM-7, SC-8, SI-3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{completedByRole}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Drafter’s note (internal, delete before publishing):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The Agency fills {agencyName}, version, dates, roles, the screen-lock timeout, and the asset details. Control rows should match the Agency’s System Configuration Baselines; update them if the baseline differs. Bands 1B and 1C apply only where the Agency operates its own email or VoIP/multimedia servers; mark NA where a band does not apply.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any [BRACKETED] field whose value could not be determined from project context, and any decision that needs confirmation before this artifact is finalized.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Endpoint Hardening Checklist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