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Mobile Device Management (MDM)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hAnsi="Aptos"/>
                <w:color w:val="595959"/>
                <w:sz w:val="24"/>
                <w:i/>
              </w:rPr>
              <w:t xml:space="preserve">«Minimum for this policy: it sets device rules and an enforcement approach, not deployed configuration.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This policy treats email as a semi-trusted system kept separate from real-time 9-1-1 operations. It sets acceptable use, handling of external mail and attachments, restrictions on mailbox delegation and inbox rules, the inspection expected, and how suspicious email is reported.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24"/>
              </w:rPr>
              <w:t xml:space="preserve">Placeholder key: </w:t>
            </w:r>
            <w:r>
              <w:rPr>
                <w:rFonts w:ascii="Aptos" w:hAnsi="Aptos"/>
                <w:b w:val="0"/>
                <w:sz w:val="24"/>
              </w:rPr>
              <w:t>[BRACKETED]</w:t>
            </w:r>
            <w:r>
              <w:rPr>
                <w:rFonts w:ascii="Aptos" w:hAnsi="Aptos"/>
                <w:b w:val="0"/>
                <w:sz w:val="24"/>
              </w:rPr>
              <w:t xml:space="preserve"> = fill in   ·   </w:t>
            </w:r>
            <w:r>
              <w:rPr>
                <w:rFonts w:ascii="Aptos" w:hAnsi="Aptos"/>
                <w:b/>
                <w:sz w:val="24"/>
              </w:rPr>
              <w:t>[REQUIRED]</w:t>
            </w:r>
            <w:r>
              <w:rPr>
                <w:rFonts w:ascii="Aptos" w:hAnsi="Aptos"/>
                <w:b w:val="0"/>
                <w:sz w:val="24"/>
              </w:rPr>
              <w:t xml:space="preserve"> (bold) = required field   ·   </w:t>
            </w:r>
            <w:r>
              <w:rPr>
                <w:rFonts w:ascii="Aptos" w:hAnsi="Aptos"/>
                <w:b w:val="0"/>
                <w:color w:val="595959"/>
                <w:sz w:val="24"/>
              </w:rPr>
              <w:t>« »</w:t>
            </w:r>
            <w:r>
              <w:rPr>
                <w:rFonts w:ascii="Aptos" w:hAnsi="Aptos"/>
                <w:b w:val="0"/>
                <w:sz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Acceptable use overlaps the Acceptable Use Policy and email administration overlaps the Role-Based Access Control Documentation; reference them rather than restating. Authentication settings live in the Email Authentication Configuration Records.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sets the rules for mobile and remote devices that access Agency systems: how they are secured, enrolled, and managed, and who owns them. It reduces the risk that a lost, stolen, or compromised device exposes Agency or CJIS-regulated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Applies to: all Agency personnel, contractors, and vendors who use a mobile or remote device to access Agency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Covers: agency-owned, approved personal, and vendor-owned mobile and remote devices, and the enrollment, configuration, and monitoring applied through mobile-device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Excludes: cellular transport requirements, set in the Cellular / Mobile Device Security Standards; remote-connection methods, set in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Mobile device: a portable computing device such as a phone, tablet, or laptop used to access Agency systems.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Managed device: a device enrolled in the Agency’s mobile-device management and subject to its enforced settings.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1. A mobile or remote device is enrolled in the Agency’s mobile-device management before it is granted access to Agency systems.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2. Managed devices enforce on-device encryption for stored data and encrypted network connections.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3. Access from a mobile or remote device requires strong authentication, using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4. Managed devices support remote lock and remote wipe; the {directorName} authorizes a wipe, which removes Agency data from the device.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5. Controls are in place to prevent Agency or CJIS-regulated data from leaking to unmanaged applications or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6. Device ownership (agency-owned, approved personal, or vendor-owned) is recorded, and personal devices meet the same minimum controls before they connect.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7. Compliance with these rules is checked on a defined cadence, and non-compliant devices are blocked until remediated.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8. Cellular transport and remote-connection requirements are governed in addition by the Cellular / Mobile Device Security Standards and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policy; approves device enrollment and authorizes remote wipe.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and enforces mobile-device management, checks compliance, and blocks non-compliant devices.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{dispatchSupervisor}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Reports lost or stolen devices promptly.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{allPersonnel}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only enrolled devices, protect them, and report loss or theft at once.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The {directorName} monitors compliance through mobile-device management reporting. Non-compliant or unenrolled devices are blocked, and repeated violations are handled under the Agency’s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Exceptions require written approval from the {directorName}, must state the device and any compensating control,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is reviewed at least annually and after any significant change to the Agency’s mobile-device technology,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Few mobile devices. Use the built-in management in the hosted platform (encryption, screen lock, remote wipe) and require MFA. The director keeps a short list of who has a device.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enrolls devices in mobile-device management, enforces encryption and MFA, and checks compliance on a set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full MDM platform enforces encryption, certificates, data-leakage controls, and remote wipe across agency-owned and approved personal devices, with automated compliance reporting.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NENA-STA-040.2-2024: §6.3.4 (Broadband Cellular); §6.7.1 (Remote Access Device Security); §6.19 (Endpoint Security)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NIST SP 800-53 Rev. 5: AC-19, IA-2, SC-28,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 xml:space="preserve">Drafter’s note </w:t>
            </w:r>
            <w:r>
              <w:rPr>
                <w:rFonts w:ascii="Aptos" w:hAnsi="Aptos"/>
                <w:b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/>
                <w:color w:val="595959"/>
                <w:sz w:val="24"/>
              </w:rPr>
              <w:t xml:space="preserve">Mobile Device Management (MDM) Policy for category 5.D. Internal: sets device rules and enforcement approach; the MDM product name and enrolled-device counts stay out of the policy. Cellular transport requirements live in the Cellular / Mobile Device Security Standards and remote-connection rules in the Remote Access Policy; enrollment and enforcement evidence lives in the Remote Endpoint Security Audit Records. Confirm the Agency’s device-ownership stance, MFA method, and remote-wipe authority.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Mobile Device Management (MDM)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