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System Redundancy Design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cs="Aptos"/>
                <w:b/>
                <w:i w:val="0"/>
                <w:sz w:val="24"/>
              </w:rPr>
              <w:t xml:space="preserve">Authority: </w:t>
            </w:r>
            <w:r>
              <w:rPr>
                <w:rFonts w:ascii="Aptos" w:hAnsi="Aptos" w:cs="Aptos"/>
                <w:b w:val="0"/>
                <w:i w:val="0"/>
                <w:sz w:val="24"/>
              </w:rPr>
              <w:t xml:space="preserve">Adopted by </w:t>
            </w:r>
            <w:r>
              <w:rPr>
                <w:rFonts w:ascii="Aptos" w:hAnsi="Aptos" w:cs="Aptos"/>
                <w:b w:val="0"/>
                <w:i w:val="0"/>
                <w:sz w:val="24"/>
                <w:b/>
                <w:bCs/>
              </w:rPr>
              <w:t xml:space="preserve">{agencyName}</w:t>
            </w:r>
            <w:r>
              <w:rPr>
                <w:rFonts w:ascii="Aptos" w:hAnsi="Aptos" w:cs="Aptos"/>
                <w:b w:val="0"/>
                <w:i w:val="0"/>
                <w:sz w:val="24"/>
              </w:rPr>
              <w:t xml:space="preserve"> under the authority of </w:t>
            </w:r>
            <w:r>
              <w:rPr>
                <w:rFonts w:ascii="Aptos" w:hAnsi="Aptos" w:cs="Aptos"/>
                <w:b w:val="0"/>
                <w:i w:val="0"/>
                <w:sz w:val="24"/>
                <w:b/>
                <w:bCs/>
              </w:rPr>
              <w:t xml:space="preserve">{signingOfficialTitle}</w:t>
            </w:r>
            <w:r>
              <w:rPr>
                <w:rFonts w:ascii="Aptos" w:hAnsi="Aptos" w:cs="Aptos"/>
                <w:b w:val="0"/>
                <w:i w:val="0"/>
                <w:sz w:val="24"/>
              </w:rPr>
              <w:t xml:space="preserve">.</w:t>
            </w:r>
          </w:p>
          <w:p>
            <w:pPr>
              <w:spacing w:after="60"/>
            </w:pPr>
            <w:r>
              <w:rPr>
                <w:rFonts w:ascii="Aptos" w:hAnsi="Aptos" w:cs="Aptos"/>
                <w:b/>
                <w:i w:val="0"/>
                <w:sz w:val="24"/>
              </w:rPr>
              <w:t xml:space="preserve">Version: </w:t>
            </w:r>
            <w:r>
              <w:rPr>
                <w:rFonts w:ascii="Aptos" w:hAnsi="Aptos" w:cs="Aptos"/>
                <w:b w:val="0"/>
                <w:i w:val="0"/>
                <w:sz w:val="24"/>
              </w:rPr>
              <w:t>{version}</w:t>
            </w:r>
            <w:r>
              <w:rPr>
                <w:rFonts w:ascii="Aptos" w:hAnsi="Aptos" w:cs="Aptos"/>
                <w:b/>
                <w:i w:val="0"/>
                <w:sz w:val="24"/>
              </w:rPr>
              <w:t xml:space="preserve">    Effective Date: </w:t>
            </w:r>
            <w:r>
              <w:rPr>
                <w:rFonts w:ascii="Aptos" w:hAnsi="Aptos" w:cs="Aptos"/>
                <w:b w:val="0"/>
                <w:i w:val="0"/>
                <w:sz w:val="24"/>
              </w:rPr>
              <w:t>{effectiveDate}</w:t>
            </w:r>
            <w:r>
              <w:rPr>
                <w:rFonts w:ascii="Aptos" w:hAnsi="Aptos" w:cs="Aptos"/>
                <w:b/>
                <w:i w:val="0"/>
                <w:sz w:val="24"/>
              </w:rPr>
              <w:t xml:space="preserve">    Next Review: </w:t>
            </w:r>
            <w:r>
              <w:rPr>
                <w:rFonts w:ascii="Aptos" w:hAnsi="Aptos" w:cs="Aptos"/>
                <w:b w:val="0"/>
                <w:i w:val="0"/>
                <w:sz w:val="24"/>
              </w:rPr>
              <w:t>{effectiveDate2}</w:t>
            </w:r>
          </w:p>
          <w:p>
            <w:pPr>
              <w:spacing w:after="60"/>
            </w:pPr>
            <w:r>
              <w:rPr>
                <w:rFonts w:ascii="Aptos" w:hAnsi="Aptos" w:cs="Aptos"/>
                <w:b/>
                <w:i w:val="0"/>
                <w:sz w:val="24"/>
              </w:rPr>
              <w:t xml:space="preserve">Owner: </w:t>
            </w:r>
            <w:r>
              <w:rPr>
                <w:rFonts w:ascii="Aptos" w:hAnsi="Aptos" w:cs="Aptos"/>
                <w:b w:val="0"/>
                <w:i w:val="0"/>
                <w:sz w:val="24"/>
              </w:rPr>
              <w:t>{itSupportLead}</w:t>
            </w:r>
            <w:r>
              <w:rPr>
                <w:rFonts w:ascii="Aptos" w:hAnsi="Aptos" w:cs="Aptos"/>
                <w:b w:val="0"/>
                <w:i/>
                <w:color w:val="595959"/>
                <w:sz w:val="24"/>
              </w:rPr>
              <w:t xml:space="preserve">   « use a role, not a person's name »</w:t>
            </w:r>
          </w:p>
          <w:p>
            <w:pPr>
              <w:spacing w:after="20"/>
            </w:pPr>
            <w:r>
              <w:rPr>
                <w:rFonts w:ascii="Aptos" w:hAnsi="Aptos" w:cs="Aptos"/>
                <w:b/>
                <w:i w:val="0"/>
                <w:sz w:val="24"/>
              </w:rPr>
              <w:t xml:space="preserve">Classification: </w:t>
            </w:r>
            <w:r>
              <w:rPr>
                <w:rFonts w:ascii="Aptos" w:hAnsi="Aptos" w:cs="Aptos"/>
                <w:b w:val="0"/>
                <w:i w:val="0"/>
                <w:sz w:val="24"/>
              </w:rPr>
              <w:t>Restricted</w:t>
            </w:r>
          </w:p>
          <w:p>
            <w:pPr>
              <w:spacing w:after="0"/>
            </w:pPr>
            <w:r>
              <w:rPr>
                <w:rFonts w:ascii="Aptos" w:hAnsi="Aptos" w:cs="Aptos"/>
                <w:b w:val="0"/>
                <w:i/>
                <w:color w:val="595959"/>
                <w:sz w:val="24"/>
              </w:rPr>
              <w:t>« Minimum for this artifact: it maps failover paths and diversity. Your agency may raise but not lower it.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hAnsi="Aptos" w:cs="Aptos"/>
                <w:b/>
                <w:i w:val="0"/>
                <w:color w:val="1B3A5C"/>
                <w:sz w:val="24"/>
              </w:rPr>
              <w:t xml:space="preserve">How to use this template </w:t>
            </w:r>
            <w:r>
              <w:rPr>
                <w:rFonts w:ascii="Aptos" w:hAnsi="Aptos" w:cs="Aptos"/>
                <w:b w:val="0"/>
                <w:i w:val="0"/>
                <w:color w:val="595959"/>
                <w:sz w:val="24"/>
              </w:rPr>
              <w:t>(delete this box before publishing)</w:t>
            </w:r>
          </w:p>
          <w:p>
            <w:pPr>
              <w:spacing w:after="140"/>
            </w:pPr>
            <w:r>
              <w:rPr>
                <w:rFonts w:ascii="Aptos" w:hAnsi="Aptos" w:cs="Aptos"/>
                <w:b w:val="0"/>
                <w:i w:val="0"/>
                <w:sz w:val="24"/>
              </w:rPr>
              <w:t>This template is ready to adopt. Replace every [BRACKETED] field with your agency's information, follow the « » guidance notes, and delete every « » note and this box before you publish.</w:t>
            </w:r>
          </w:p>
          <w:p>
            <w:pPr>
              <w:spacing w:after="0"/>
            </w:pPr>
            <w:r>
              <w:rPr>
                <w:rFonts w:ascii="Aptos" w:hAnsi="Aptos" w:cs="Aptos"/>
                <w:b w:val="0"/>
                <w:i w:val="0"/>
                <w:sz w:val="24"/>
              </w:rPr>
              <w:t>Placeholder key: [BRACKETED] = fill in   ·   [REQUIRED] (bold) = required field   ·   « » = guidance to delete.</w:t>
            </w:r>
          </w:p>
          <w:p>
            <w:pPr>
              <w:spacing w:after="140"/>
            </w:pPr>
            <w:r>
              <w:rPr>
                <w:rFonts w:ascii="Aptos" w:hAnsi="Aptos" w:cs="Aptos"/>
                <w:b w:val="0"/>
                <w:i w:val="0"/>
                <w:sz w:val="24"/>
              </w:rPr>
              <w:t>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diagram or design documents and the decisions it supports. One or two sentences.»</w:t>
      </w:r>
    </w:p>
    <w:p>
      <w:pPr>
        <w:spacing w:after="120" w:before="0"/>
      </w:pPr>
      <w:r>
        <w:rPr>
          <w:rFonts w:ascii="Aptos" w:cs="Aptos" w:eastAsia="Aptos" w:hAnsi="Aptos"/>
          <w:b w:val="false"/>
          <w:bCs w:val="false"/>
          <w:i w:val="false"/>
          <w:iCs w:val="false"/>
          <w:sz w:val="24"/>
          <w:szCs w:val="24"/>
        </w:rPr>
        <w:t>This document maps the redundant components that keep 9-1-1 service available: dual internet or ESInet paths, redundant call routing and CAD, and geographic and vendor diversity. For each, it records the failover mechanism, so a localized failure or a single vendor outage does not take down all services.</w:t>
      </w:r>
    </w:p>
    <w:p>
      <w:pPr>
        <w:pStyle w:val="Heading2"/>
        <w:spacing w:after="100" w:before="220"/>
      </w:pPr>
      <w:r>
        <w:rPr>
          <w:rFonts w:ascii="Aptos" w:cs="Aptos" w:eastAsia="Aptos" w:hAnsi="Aptos"/>
          <w:b/>
          <w:bCs/>
          <w:color w:val="1B3A5C"/>
          <w:sz w:val="26"/>
          <w:szCs w:val="26"/>
        </w:rPr>
        <w:t xml:space="preserve">2. Diagram</w:t>
      </w:r>
    </w:p>
    <w:p>
      <w:pPr>
        <w:spacing w:after="140"/>
      </w:pPr>
      <w:r>
        <w:rPr>
          <w:rFonts w:ascii="Aptos" w:cs="Aptos" w:eastAsia="Aptos" w:hAnsi="Aptos"/>
          <w:i/>
          <w:iCs/>
          <w:color w:val="595959"/>
          <w:sz w:val="24"/>
          <w:szCs w:val="24"/>
        </w:rPr>
        <w:t xml:space="preserve">«Insert the current diagram below. Keep it legible at one page. Label every node and connection. Update the Change History whenever the topology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20"/>
            </w:pPr>
          </w:p>
          <w:p>
            <w:pPr>
              <w:spacing w:after="80" w:before="80"/>
              <w:jc w:val="center"/>
            </w:pPr>
            <w:r>
              <w:rPr>
                <w:rFonts w:ascii="Aptos" w:cs="Aptos" w:eastAsia="Aptos" w:hAnsi="Aptos"/>
                <w:i/>
                <w:iCs/>
                <w:color w:val="595959"/>
                <w:sz w:val="24"/>
                <w:szCs w:val="24"/>
              </w:rPr>
              <w:t xml:space="preserve">«Insert the current diagram here»</w:t>
            </w:r>
          </w:p>
          <w:p>
            <w:pPr>
              <w:spacing w:after="220"/>
            </w:pPr>
          </w:p>
        </w:tc>
      </w:tr>
    </w:tbl>
    <w:p>
      <w:pPr>
        <w:pStyle w:val="Heading2"/>
        <w:spacing w:after="100" w:before="220"/>
      </w:pPr>
      <w:r>
        <w:rPr>
          <w:rFonts w:ascii="Aptos" w:cs="Aptos" w:eastAsia="Aptos" w:hAnsi="Aptos"/>
          <w:b/>
          <w:bCs/>
          <w:color w:val="1B3A5C"/>
          <w:sz w:val="26"/>
          <w:szCs w:val="26"/>
        </w:rPr>
        <w:t>3. Redundant Components</w:t>
      </w:r>
    </w:p>
    <w:p>
      <w:pPr>
        <w:spacing w:after="140"/>
      </w:pPr>
      <w:r>
        <w:rPr>
          <w:rFonts w:ascii="Aptos" w:cs="Aptos" w:eastAsia="Aptos" w:hAnsi="Aptos"/>
          <w:i/>
          <w:iCs/>
          <w:color w:val="595959"/>
          <w:sz w:val="24"/>
          <w:szCs w:val="24"/>
        </w:rPr>
        <w:t>« One row per redundant service or component. Roles, not names.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360"/>
        <w:gridCol w:w="2400"/>
        <w:gridCol w:w="2400"/>
      </w:tblGrid>
      <w:tr>
        <w:trPr>
          <w:cantSplit/>
          <w:tblHeader/>
        </w:trPr>
        <w:tc>
          <w:tcPr>
            <w:tcW w:type="dxa" w:w="2592"/>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Service / component</w:t>
            </w:r>
          </w:p>
        </w:tc>
        <w:tc>
          <w:tcPr>
            <w:tcW w:type="dxa" w:w="3456"/>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Primary and diverse counterpart</w:t>
            </w:r>
          </w:p>
        </w:tc>
        <w:tc>
          <w:tcPr>
            <w:tcW w:type="dxa" w:w="1872"/>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Failover mechanism (auto / manual)</w:t>
            </w:r>
          </w:p>
        </w:tc>
        <w:tc>
          <w:tcPr>
            <w:tcW w:type="dxa" w:w="14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Expected shift time</w:t>
            </w:r>
          </w:p>
        </w:tc>
      </w:tr>
      <w:tr>
        <w:trPr>
          <w:cantSplit/>
        </w:trPr>
        <w:tc>
          <w:tcPr>
            <w:tcW w:type="dxa" w:w="259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{internetEsinetPath}</w:t>
            </w:r>
          </w:p>
        </w:tc>
        <w:tc>
          <w:tcPr>
            <w:tcW w:type="dxa" w:w="345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{carrierAPrimaryCarrierBDiverse}</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{automatic}</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{expectedShiftTime}</w:t>
            </w:r>
          </w:p>
        </w:tc>
      </w:tr>
      <w:tr>
        <w:trPr>
          <w:cantSplit/>
        </w:trPr>
        <w:tc>
          <w:tcPr>
            <w:tcW w:type="dxa" w:w="259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{callRoutingCpe}</w:t>
            </w:r>
          </w:p>
        </w:tc>
        <w:tc>
          <w:tcPr>
            <w:tcW w:type="dxa" w:w="345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{primaryNodeRedundantNode}</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{automatic2}</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{expectedShiftTime2}</w:t>
            </w:r>
          </w:p>
        </w:tc>
      </w:tr>
      <w:tr>
        <w:trPr>
          <w:cantSplit/>
        </w:trPr>
        <w:tc>
          <w:tcPr>
            <w:tcW w:type="dxa" w:w="2600"/>
          </w:tcPr>
          <w:p>
            <w:r>
              <w:rPr>
                <w:rFonts w:ascii="Aptos" w:hAnsi="Aptos" w:cs="Aptos"/>
                <w:b w:val="0"/>
                <w:i w:val="0"/>
                <w:sz w:val="24"/>
              </w:rPr>
              <w:t>{computerAidedDispatchCad}</w:t>
            </w:r>
          </w:p>
        </w:tc>
        <w:tc>
          <w:tcPr>
            <w:tcW w:type="dxa" w:w="4360"/>
          </w:tcPr>
          <w:p>
            <w:r>
              <w:rPr>
                <w:rFonts w:ascii="Aptos" w:hAnsi="Aptos" w:cs="Aptos"/>
                <w:b w:val="0"/>
                <w:i w:val="0"/>
                <w:sz w:val="24"/>
              </w:rPr>
              <w:t>{cadPrimaryAndCounterpart}</w:t>
            </w:r>
          </w:p>
        </w:tc>
        <w:tc>
          <w:tcPr>
            <w:tcW w:type="dxa" w:w="2400"/>
          </w:tcPr>
          <w:p>
            <w:r>
              <w:rPr>
                <w:rFonts w:ascii="Aptos" w:hAnsi="Aptos" w:cs="Aptos"/>
                <w:b w:val="0"/>
                <w:i w:val="0"/>
                <w:sz w:val="24"/>
              </w:rPr>
              <w:t>{manual}</w:t>
            </w:r>
          </w:p>
        </w:tc>
        <w:tc>
          <w:tcPr>
            <w:tcW w:type="dxa" w:w="2400"/>
          </w:tcPr>
          <w:p>
            <w:r>
              <w:rPr>
                <w:rFonts w:ascii="Aptos" w:hAnsi="Aptos" w:cs="Aptos"/>
                <w:b w:val="0"/>
                <w:i w:val="0"/>
                <w:sz w:val="24"/>
              </w:rPr>
              <w:t>{perProcedure}</w:t>
            </w:r>
          </w:p>
        </w:tc>
      </w:tr>
      <w:tr>
        <w:trPr>
          <w:cantSplit/>
        </w:trPr>
        <w:tc>
          <w:tcPr>
            <w:tcW w:type="dxa" w:w="2600"/>
          </w:tcPr>
          <w:p>
            <w:r>
              <w:rPr>
                <w:rFonts w:ascii="Aptos" w:hAnsi="Aptos" w:cs="Aptos"/>
                <w:b w:val="0"/>
                <w:i w:val="0"/>
                <w:sz w:val="24"/>
              </w:rPr>
              <w:t>{radioDispatchConsole}</w:t>
            </w:r>
          </w:p>
        </w:tc>
        <w:tc>
          <w:tcPr>
            <w:tcW w:type="dxa" w:w="4360"/>
          </w:tcPr>
          <w:p>
            <w:r>
              <w:rPr>
                <w:rFonts w:ascii="Aptos" w:hAnsi="Aptos" w:cs="Aptos"/>
                <w:b w:val="0"/>
                <w:i w:val="0"/>
                <w:sz w:val="24"/>
              </w:rPr>
              <w:t>{primaryConsoleBackupOrPortable}</w:t>
            </w:r>
          </w:p>
        </w:tc>
        <w:tc>
          <w:tcPr>
            <w:tcW w:type="dxa" w:w="2400"/>
          </w:tcPr>
          <w:p>
            <w:r>
              <w:rPr>
                <w:rFonts w:ascii="Aptos" w:hAnsi="Aptos" w:cs="Aptos"/>
                <w:b w:val="0"/>
                <w:i w:val="0"/>
                <w:sz w:val="24"/>
              </w:rPr>
              <w:t>{manual2}</w:t>
            </w:r>
          </w:p>
        </w:tc>
        <w:tc>
          <w:tcPr>
            <w:tcW w:type="dxa" w:w="2400"/>
          </w:tcPr>
          <w:p>
            <w:r>
              <w:rPr>
                <w:rFonts w:ascii="Aptos" w:hAnsi="Aptos" w:cs="Aptos"/>
                <w:b w:val="0"/>
                <w:i w:val="0"/>
                <w:sz w:val="24"/>
              </w:rPr>
              <w:t>{immediate}</w:t>
            </w:r>
          </w:p>
        </w:tc>
      </w:tr>
    </w:tbl>
    <w:p>
      <w:pPr>
        <w:pStyle w:val="Heading2"/>
        <w:spacing w:after="100" w:before="220"/>
      </w:pPr>
      <w:r>
        <w:rPr>
          <w:rFonts w:ascii="Aptos" w:cs="Aptos" w:eastAsia="Aptos" w:hAnsi="Aptos"/>
          <w:b/>
          <w:bCs/>
          <w:color w:val="1B3A5C"/>
          <w:sz w:val="26"/>
          <w:szCs w:val="26"/>
        </w:rPr>
        <w:t>4. Diversity &amp; Failover Notes</w:t>
      </w:r>
    </w:p>
    <w:p>
      <w:pPr>
        <w:spacing w:after="140"/>
      </w:pPr>
      <w:r>
        <w:rPr>
          <w:rFonts w:ascii="Aptos" w:cs="Aptos" w:eastAsia="Aptos" w:hAnsi="Aptos"/>
          <w:i/>
          <w:iCs/>
          <w:color w:val="595959"/>
          <w:sz w:val="24"/>
          <w:szCs w:val="24"/>
        </w:rPr>
        <w:t xml:space="preserve">«How the components connect and depend on each other: data flows, trust boundaries, failover paths. Reference dependent artifacts by Tracker name.»</w:t>
      </w:r>
    </w:p>
    <w:p>
      <w:pPr>
        <w:spacing w:after="120" w:before="0"/>
      </w:pPr>
      <w:r>
        <w:rPr>
          <w:rFonts w:ascii="Aptos" w:cs="Aptos" w:eastAsia="Aptos" w:hAnsi="Aptos"/>
          <w:b w:val="false"/>
          <w:bCs w:val="false"/>
          <w:i w:val="false"/>
          <w:iCs w:val="false"/>
          <w:sz w:val="24"/>
          <w:szCs w:val="24"/>
        </w:rPr>
        <w:t>Record the diversity that protects each service: geographic separation between primary and backup (distance, separate sites), vendor diversity (different manufacturers for critical hardware and software), and carrier diversity (separate providers and physically diverse cable paths). Note the trust boundaries each failover crosses. Certificate and certificate-authority availability must survive failover, so keep the Certificate Inventory and Certificate Renewal &amp; Revocation Procedures aligned. Any component with no redundancy is a single point of failure and is carried into the Single-Point-of-Failure Assessment Record. Each failover path is tested and the results recorded in the Failover Test Records.</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Redundancy is basic but real: a second carrier or a wireless backup for internet, a documented manual fallback for CAD, and a backup radio console. Test the failover once a year and keep the result.</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Dual carriers and redundant call routing, with automatic network failover and manual procedures for CAD. Geographic separation where a second site exists. Failover tested on a set cadence.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Full geographic and vendor diversity across two centers, automatic failover for critical paths, and diverse cable routes. Redundancy is designed, tested, and monitored as part of the continuity program.</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cs="Aptos"/>
                <w:b/>
                <w:i w:val="0"/>
                <w:color w:val="1B3A5C"/>
                <w:sz w:val="24"/>
              </w:rPr>
              <w:t>Source Authority</w:t>
            </w:r>
          </w:p>
          <w:p>
            <w:pPr>
              <w:spacing w:after="140"/>
            </w:pPr>
            <w:r>
              <w:rPr>
                <w:rFonts w:ascii="Aptos" w:hAnsi="Aptos" w:cs="Aptos"/>
                <w:b w:val="0"/>
                <w:i/>
                <w:color w:val="595959"/>
                <w:sz w:val="24"/>
              </w:rPr>
              <w:t>List only the authorities that map to content in this artifact. Group by authority; order sections and control IDs numerically; add no padding.</w:t>
            </w:r>
          </w:p>
          <w:p>
            <w:pPr>
              <w:spacing w:after="40" w:before="0"/>
            </w:pPr>
            <w:r>
              <w:rPr>
                <w:rFonts w:ascii="Aptos" w:hAnsi="Aptos" w:cs="Aptos"/>
                <w:b w:val="0"/>
                <w:i w:val="0"/>
                <w:sz w:val="24"/>
              </w:rPr>
              <w:t>NENA-STA-040.2-2024: §5.3, §6.14, §6.15</w:t>
            </w:r>
          </w:p>
          <w:p>
            <w:pPr>
              <w:spacing w:after="40" w:before="0"/>
            </w:pPr>
            <w:r>
              <w:rPr>
                <w:rFonts w:ascii="Aptos" w:hAnsi="Aptos" w:cs="Aptos"/>
                <w:b w:val="0"/>
                <w:i w:val="0"/>
                <w:sz w:val="24"/>
              </w:rPr>
              <w:t>NIST SP 800-53 Rev. 5: CP-2, CP-7, CP-8</w:t>
            </w:r>
          </w:p>
          <w:p>
            <w:pPr>
              <w:spacing w:after="40" w:before="0"/>
            </w:pPr>
            <w:r>
              <w:rPr>
                <w:rFonts w:ascii="Aptos" w:hAnsi="Aptos" w:cs="Aptos"/>
                <w:b w:val="0"/>
                <w:i w:val="0"/>
                <w:sz w:val="24"/>
              </w:rPr>
              <w:t>Indiana statutes and administrative code:</w:t>
            </w:r>
          </w:p>
          <w:p>
            <w:pPr>
              <w:spacing w:after="0" w:before="0"/>
            </w:pPr>
            <w:r>
              <w:rPr>
                <w:rFonts w:ascii="Aptos" w:hAnsi="Aptos" w:cs="Aptos"/>
                <w:b w:val="0"/>
                <w:i w:val="0"/>
                <w:sz w:val="24"/>
              </w:rPr>
              <w:t xml:space="preserve">    IC 36-8-16.7: Statewide 9-1-1 Services (redundancy)</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Change History</w:t>
      </w:r>
    </w:p>
    <w:p>
      <w:pPr>
        <w:spacing w:after="140"/>
      </w:pPr>
      <w:r>
        <w:rPr>
          <w:rFonts w:ascii="Aptos" w:cs="Aptos" w:eastAsia="Aptos" w:hAnsi="Aptos"/>
          <w:i/>
          <w:iCs/>
          <w:color w:val="595959"/>
          <w:sz w:val="24"/>
          <w:szCs w:val="24"/>
        </w:rPr>
        <w:t xml:space="preserve">«This table is the Architecture / Design artifact’s required change-history element. Add one row per change to the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hAnsi="Aptos" w:cs="Aptos"/>
                <w:b/>
                <w:i w:val="0"/>
                <w:color w:val="1B3A5C"/>
                <w:sz w:val="24"/>
              </w:rPr>
              <w:t xml:space="preserve">Drafter's note </w:t>
            </w:r>
            <w:r>
              <w:rPr>
                <w:rFonts w:ascii="Aptos" w:hAnsi="Aptos" w:cs="Aptos"/>
                <w:b w:val="0"/>
                <w:i w:val="0"/>
                <w:color w:val="595959"/>
                <w:sz w:val="24"/>
              </w:rPr>
              <w:t>(internal, delete before publishing)</w:t>
            </w:r>
          </w:p>
          <w:p>
            <w:pPr>
              <w:spacing w:after="140"/>
            </w:pPr>
            <w:r>
              <w:rPr>
                <w:rFonts w:ascii="Aptos" w:hAnsi="Aptos" w:cs="Aptos"/>
                <w:b w:val="0"/>
                <w:i w:val="0"/>
                <w:sz w:val="24"/>
              </w:rPr>
              <w:t>The Component Descriptions table was recast into a redundancy table (primary and diverse counterpart, failover mechanism and type, expected shift time), following the Controlled Area / Zone Map precedent. The Diagram box stays blank in the form; worked examples carry a generated redundancy and failover diagram.</w:t>
            </w:r>
          </w:p>
          <w:p>
            <w:pPr>
              <w:spacing w:after="140"/>
            </w:pPr>
            <w:r>
              <w:rPr>
                <w:rFonts w:ascii="Aptos" w:hAnsi="Aptos" w:cs="Aptos"/>
                <w:b w:val="0"/>
                <w:i w:val="0"/>
                <w:sz w:val="24"/>
              </w:rPr>
              <w:t>Components with no redundancy feed the Single-Point-of-Failure Assessment Record; each failover path is tested in the Failover Test Records. Agency-supplied values in brackets: {agencyName}, owner and signing roles, version and dates, and every component, carrier, and shift-time value.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2026-06-01T15:29:11.495Z</dcterms:created>
  <dcterms:modified xsi:type="dcterms:W3CDTF">2026-06-01T15:29:11.495Z</dcterms:modified>
  <dc:title xmlns:dc="http://purl.org/dc/elements/1.1/">System Redundancy Design Documentation - FORM</dc:title>
</cp:coreProperties>
</file>

<file path=docProps/custom.xml><?xml version="1.0" encoding="utf-8"?>
<Properties xmlns="http://schemas.openxmlformats.org/officeDocument/2006/custom-properties" xmlns:vt="http://schemas.openxmlformats.org/officeDocument/2006/docPropsVTypes"/>
</file>