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Role-Specific Training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sz w:val="24"/>
                <w:szCs w:val="24"/>
                <w:b w:val="true"/>
                <w:bCs w:val="true"/>
                <w:i w:val="false"/>
                <w:iCs w:val="false"/>
              </w:rPr>
              <w:t xml:space="preserve">Authority: </w:t>
            </w:r>
            <w:r>
              <w:rPr>
                <w:rFonts w:ascii="Aptos" w:cs="Aptos" w:eastAsia="Aptos" w:hAnsi="Aptos"/>
                <w:sz w:val="24"/>
                <w:szCs w:val="24"/>
                <w:b w:val="false"/>
                <w:bCs w:val="false"/>
                <w:i w:val="false"/>
                <w:iCs w:val="false"/>
              </w:rPr>
              <w:t xml:space="preserve">Adopted by </w:t>
            </w:r>
            <w:r>
              <w:rPr>
                <w:rFonts w:ascii="Aptos" w:cs="Aptos" w:eastAsia="Aptos" w:hAnsi="Aptos"/>
                <w:sz w:val="24"/>
                <w:szCs w:val="24"/>
                <w:b w:val="false"/>
                <w:bCs w:val="false"/>
                <w:i w:val="false"/>
                <w:iCs w:val="false"/>
                <w:b/>
                <w:bCs/>
              </w:rPr>
              <w:t xml:space="preserve">{agencyName}</w:t>
            </w:r>
            <w:r>
              <w:rPr>
                <w:rFonts w:ascii="Aptos" w:cs="Aptos" w:eastAsia="Aptos" w:hAnsi="Aptos"/>
                <w:sz w:val="24"/>
                <w:szCs w:val="24"/>
                <w:b w:val="false"/>
                <w:bCs w:val="false"/>
                <w:i w:val="false"/>
                <w:iCs w:val="false"/>
              </w:rPr>
              <w:t xml:space="preserve"> under the authority of </w:t>
            </w:r>
            <w:r>
              <w:rPr>
                <w:rFonts w:ascii="Aptos" w:cs="Aptos" w:eastAsia="Aptos" w:hAnsi="Aptos"/>
                <w:sz w:val="24"/>
                <w:szCs w:val="24"/>
                <w:b w:val="false"/>
                <w:bCs w:val="false"/>
                <w:i w:val="false"/>
                <w:iCs w:val="false"/>
                <w:b/>
                <w:bCs/>
              </w:rPr>
              <w:t xml:space="preserve">{signingOfficialTitle}</w:t>
            </w:r>
            <w:r>
              <w:rPr>
                <w:rFonts w:ascii="Aptos" w:cs="Aptos" w:eastAsia="Aptos" w:hAnsi="Aptos"/>
                <w:sz w:val="24"/>
                <w:szCs w:val="24"/>
                <w:b w:val="false"/>
                <w:bCs w:val="false"/>
                <w:i w:val="false"/>
                <w:iCs w:val="false"/>
              </w:rPr>
              <w:t xml:space="preserve">.</w:t>
            </w:r>
          </w:p>
          <w:p>
            <w:pPr>
              <w:spacing w:after="60"/>
            </w:pPr>
            <w:r>
              <w:rPr>
                <w:rFonts w:ascii="Aptos" w:cs="Aptos" w:eastAsia="Aptos" w:hAnsi="Aptos"/>
                <w:sz w:val="24"/>
                <w:szCs w:val="24"/>
                <w:b w:val="true"/>
                <w:bCs w:val="true"/>
                <w:i w:val="false"/>
                <w:iCs w:val="false"/>
              </w:rPr>
              <w:t xml:space="preserve">Version: </w:t>
            </w:r>
            <w:r>
              <w:rPr>
                <w:rFonts w:ascii="Aptos" w:cs="Aptos" w:eastAsia="Aptos" w:hAnsi="Aptos"/>
                <w:sz w:val="24"/>
                <w:szCs w:val="24"/>
                <w:b w:val="false"/>
                <w:bCs w:val="false"/>
                <w:i w:val="false"/>
                <w:iCs w:val="false"/>
              </w:rPr>
              <w:t xml:space="preserve">{version}    </w:t>
            </w:r>
            <w:r>
              <w:rPr>
                <w:rFonts w:ascii="Aptos" w:cs="Aptos" w:eastAsia="Aptos" w:hAnsi="Aptos"/>
                <w:sz w:val="24"/>
                <w:szCs w:val="24"/>
                <w:b w:val="true"/>
                <w:bCs w:val="true"/>
                <w:i w:val="false"/>
                <w:iCs w:val="false"/>
              </w:rPr>
              <w:t xml:space="preserve">Effective Date: </w:t>
            </w:r>
            <w:r>
              <w:rPr>
                <w:rFonts w:ascii="Aptos" w:cs="Aptos" w:eastAsia="Aptos" w:hAnsi="Aptos"/>
                <w:sz w:val="24"/>
                <w:szCs w:val="24"/>
                <w:b w:val="false"/>
                <w:bCs w:val="false"/>
                <w:i w:val="false"/>
                <w:iCs w:val="false"/>
              </w:rPr>
              <w:t xml:space="preserve">{effectiveDate}    </w:t>
            </w:r>
            <w:r>
              <w:rPr>
                <w:rFonts w:ascii="Aptos" w:cs="Aptos" w:eastAsia="Aptos" w:hAnsi="Aptos"/>
                <w:sz w:val="24"/>
                <w:szCs w:val="24"/>
                <w:b w:val="true"/>
                <w:bCs w:val="true"/>
                <w:i w:val="false"/>
                <w:iCs w:val="false"/>
              </w:rPr>
              <w:t xml:space="preserve">Next Review: </w:t>
            </w:r>
            <w:r>
              <w:rPr>
                <w:rFonts w:ascii="Aptos" w:cs="Aptos" w:eastAsia="Aptos" w:hAnsi="Aptos"/>
                <w:sz w:val="24"/>
                <w:szCs w:val="24"/>
                <w:b w:val="false"/>
                <w:bCs w:val="false"/>
                <w:i w:val="false"/>
                <w:iCs w:val="false"/>
              </w:rPr>
              <w:t xml:space="preserve">{effectiveDate2}</w:t>
            </w:r>
          </w:p>
          <w:p>
            <w:pPr>
              <w:spacing w:after="60"/>
            </w:pPr>
            <w:r>
              <w:rPr>
                <w:rFonts w:ascii="Aptos" w:cs="Aptos" w:eastAsia="Aptos" w:hAnsi="Aptos"/>
                <w:sz w:val="24"/>
                <w:szCs w:val="24"/>
                <w:b w:val="true"/>
                <w:bCs w:val="true"/>
                <w:i w:val="false"/>
                <w:iCs w:val="false"/>
              </w:rPr>
              <w:t xml:space="preserve">Owner: </w:t>
            </w:r>
            <w:r>
              <w:rPr>
                <w:rFonts w:ascii="Aptos" w:cs="Aptos" w:eastAsia="Aptos" w:hAnsi="Aptos"/>
                <w:sz w:val="24"/>
                <w:szCs w:val="24"/>
                <w:b w:val="false"/>
                <w:bCs w:val="false"/>
                <w:i w:val="false"/>
                <w:iCs w:val="false"/>
              </w:rPr>
              <w:t xml:space="preserve">{roleTitle}   </w:t>
            </w:r>
            <w:r>
              <w:rPr>
                <w:rFonts w:ascii="Aptos" w:cs="Aptos" w:eastAsia="Aptos" w:hAnsi="Aptos"/>
                <w:sz w:val="24"/>
                <w:szCs w:val="24"/>
                <w:b w:val="false"/>
                <w:bCs w:val="false"/>
                <w:i w:val="true"/>
                <w:iCs w:val="true"/>
                <w:color w:val="595959"/>
              </w:rPr>
              <w:t xml:space="preserve">«use a role, not a person's name.»</w:t>
            </w:r>
          </w:p>
          <w:p>
            <w:pPr>
              <w:spacing w:after="0"/>
            </w:pPr>
            <w:r>
              <w:rPr>
                <w:rFonts w:ascii="Aptos" w:cs="Aptos" w:eastAsia="Aptos" w:hAnsi="Aptos"/>
                <w:sz w:val="24"/>
                <w:szCs w:val="24"/>
                <w:b w:val="true"/>
                <w:bCs w:val="true"/>
                <w:i w:val="false"/>
                <w:iCs w:val="false"/>
              </w:rPr>
              <w:t xml:space="preserve">Classification: </w:t>
            </w:r>
            <w:r>
              <w:rPr>
                <w:rFonts w:ascii="Aptos" w:cs="Aptos" w:eastAsia="Aptos" w:hAnsi="Aptos"/>
                <w:sz w:val="24"/>
                <w:szCs w:val="24"/>
                <w:b w:val="false"/>
                <w:bCs w:val="false"/>
                <w:i w:val="false"/>
                <w:iCs w:val="false"/>
              </w:rPr>
              <w:t xml:space="preserve">Internal   </w:t>
            </w:r>
            <w:r>
              <w:rPr>
                <w:rFonts w:ascii="Aptos" w:cs="Aptos" w:eastAsia="Aptos" w:hAnsi="Aptos"/>
                <w:sz w:val="24"/>
                <w:szCs w:val="24"/>
                <w:b w:val="false"/>
                <w:bCs w:val="false"/>
                <w:i w:val="true"/>
                <w:iCs w:val="true"/>
                <w:color w:val="595959"/>
              </w:rPr>
              <w:t xml:space="preserve">«Minimum for Training Material artifacts. The material stays Internal because it teaches behavior rather than publishing configuration values; the matching completion records are separately Confidential. Raise this if the Agency fills in actual detection thresholds, isolation steps, or system-specific configuration detail. Your agency may raise but not lower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80"/>
            </w:pPr>
            <w:r>
              <w:rPr>
                <w:rFonts w:ascii="Aptos" w:cs="Aptos" w:eastAsia="Aptos" w:hAnsi="Aptos"/>
                <w:sz w:val="24"/>
                <w:szCs w:val="24"/>
                <w:b w:val="true"/>
                <w:bCs w:val="true"/>
                <w:i w:val="false"/>
                <w:iCs w:val="false"/>
                <w:color w:val="1B3A5C"/>
              </w:rPr>
              <w:t xml:space="preserve">How to use this template </w:t>
            </w:r>
            <w:r>
              <w:rPr>
                <w:rFonts w:ascii="Aptos" w:cs="Aptos" w:eastAsia="Aptos" w:hAnsi="Aptos"/>
                <w:sz w:val="24"/>
                <w:szCs w:val="24"/>
                <w:b w:val="false"/>
                <w:bCs w:val="false"/>
                <w:i w:val="true"/>
                <w:iCs w:val="true"/>
                <w:color w:val="595959"/>
              </w:rPr>
              <w:t xml:space="preserve">(delete this box before publishing)</w:t>
            </w:r>
          </w:p>
          <w:p>
            <w:pPr>
              <w:spacing w:after="80"/>
            </w:pPr>
            <w:r>
              <w:rPr>
                <w:rFonts w:ascii="Aptos" w:cs="Aptos" w:eastAsia="Aptos" w:hAnsi="Aptos"/>
                <w:sz w:val="24"/>
                <w:szCs w:val="24"/>
                <w:b w:val="false"/>
                <w:bCs w:val="false"/>
                <w:i w:val="false"/>
                <w:iCs w:val="false"/>
              </w:rPr>
              <w:t xml:space="preserve">This document carries the Agency's role-specific training content: the tracks assigned above baseline awareness training, what each one teaches, and how understanding is checked. Replace every [BRACKETED] field, follow the </w:t>
            </w:r>
            <w:r>
              <w:rPr>
                <w:rFonts w:ascii="Aptos" w:cs="Aptos" w:eastAsia="Aptos" w:hAnsi="Aptos"/>
                <w:sz w:val="24"/>
                <w:szCs w:val="24"/>
                <w:b w:val="false"/>
                <w:bCs w:val="false"/>
                <w:i w:val="false"/>
                <w:iCs w:val="false"/>
              </w:rPr>
              <w:t xml:space="preserve">«guidance»</w:t>
            </w:r>
            <w:r>
              <w:rPr>
                <w:rFonts w:ascii="Aptos" w:cs="Aptos" w:eastAsia="Aptos" w:hAnsi="Aptos"/>
                <w:sz w:val="24"/>
                <w:szCs w:val="24"/>
                <w:b w:val="false"/>
                <w:bCs w:val="false"/>
                <w:i w:val="false"/>
                <w:iCs w:val="false"/>
              </w:rPr>
              <w:t xml:space="preserve">, and delete every </w:t>
            </w:r>
            <w:r>
              <w:rPr>
                <w:rFonts w:ascii="Aptos" w:cs="Aptos" w:eastAsia="Aptos" w:hAnsi="Aptos"/>
                <w:sz w:val="24"/>
                <w:szCs w:val="24"/>
                <w:b w:val="false"/>
                <w:bCs w:val="false"/>
                <w:i w:val="false"/>
                <w:iCs w:val="false"/>
              </w:rPr>
              <w:t xml:space="preserve">«note»</w:t>
            </w:r>
            <w:r>
              <w:rPr>
                <w:rFonts w:ascii="Aptos" w:cs="Aptos" w:eastAsia="Aptos" w:hAnsi="Aptos"/>
                <w:sz w:val="24"/>
                <w:szCs w:val="24"/>
                <w:b w:val="false"/>
                <w:bCs w:val="false"/>
                <w:i w:val="false"/>
                <w:iCs w:val="false"/>
              </w:rPr>
              <w:t xml:space="preserve"> and this box before you publish.</w:t>
            </w:r>
          </w:p>
          <w:p>
            <w:pPr>
              <w:spacing w:after="80"/>
            </w:pPr>
            <w:r>
              <w:rPr>
                <w:rFonts w:ascii="Aptos" w:cs="Aptos" w:eastAsia="Aptos" w:hAnsi="Aptos"/>
                <w:sz w:val="24"/>
                <w:szCs w:val="24"/>
                <w:b w:val="false"/>
                <w:bCs w:val="false"/>
                <w:i w:val="false"/>
                <w:iCs w:val="false"/>
              </w:rPr>
              <w:t xml:space="preserve">Placeholder key: [BRACKETED] = fill in · [REQUIRED] (bold) = required field · «» = guidance to delete.</w:t>
            </w:r>
          </w:p>
          <w:p>
            <w:pPr>
              <w:spacing w:after="0"/>
            </w:pPr>
            <w:r>
              <w:rPr>
                <w:rFonts w:ascii="Aptos" w:cs="Aptos" w:eastAsia="Aptos" w:hAnsi="Aptos"/>
                <w:sz w:val="24"/>
                <w:szCs w:val="24"/>
                <w:b w:val="false"/>
                <w:bCs w:val="false"/>
                <w:i w:val="false"/>
                <w:iCs w:val="false"/>
              </w:rPr>
              <w:t xml:space="preserve">Training is assigned by function, not by job title, so the tracks fit any org chart. Baseline awareness training for all personnel is set by the Cybersecurity Training Plan and is not repeated here. Completion is recorded in the Training Completion Records, and demonstrated skill in the Competency Assessment Records. Reference them; do not restate them.</w:t>
            </w:r>
          </w:p>
        </w:tc>
      </w:tr>
    </w:tbl>
    <w:p>
      <w:pPr>
        <w:pStyle w:val="Heading2"/>
        <w:spacing w:after="100" w:before="220"/>
      </w:pPr>
      <w:r>
        <w:rPr>
          <w:rFonts w:ascii="Aptos" w:cs="Aptos" w:eastAsia="Aptos" w:hAnsi="Aptos"/>
          <w:sz w:val="26"/>
          <w:szCs w:val="26"/>
          <w:b w:val="true"/>
          <w:bCs w:val="true"/>
          <w:i w:val="false"/>
          <w:iCs w:val="false"/>
          <w:color w:val="1B3A5C"/>
        </w:rPr>
        <w:t xml:space="preserve">1. Purpose and Scope</w:t>
      </w:r>
    </w:p>
    <w:p>
      <w:pPr>
        <w:spacing w:after="140"/>
      </w:pPr>
      <w:r>
        <w:rPr>
          <w:rFonts w:ascii="Aptos" w:cs="Aptos" w:eastAsia="Aptos" w:hAnsi="Aptos"/>
          <w:sz w:val="24"/>
          <w:szCs w:val="24"/>
          <w:b w:val="false"/>
          <w:bCs w:val="false"/>
          <w:i w:val="true"/>
          <w:iCs w:val="true"/>
          <w:color w:val="595959"/>
        </w:rPr>
        <w:t xml:space="preserve">«What this material teaches, and what it deliberately leaves to other artifacts.»</w:t>
      </w:r>
    </w:p>
    <w:p>
      <w:pPr>
        <w:spacing w:after="120" w:before="0"/>
      </w:pPr>
      <w:r>
        <w:rPr>
          <w:rFonts w:ascii="Aptos" w:cs="Aptos" w:eastAsia="Aptos" w:hAnsi="Aptos"/>
          <w:sz w:val="24"/>
          <w:szCs w:val="24"/>
          <w:b w:val="false"/>
          <w:bCs w:val="false"/>
          <w:i w:val="false"/>
          <w:iCs w:val="false"/>
        </w:rPr>
        <w:t xml:space="preserve">Purpose: This material carries the Agency's role-specific security training. It sets out what each specialized track teaches, who must complete it, how understanding is checked, and how often it is refreshed.</w:t>
      </w:r>
    </w:p>
    <w:p>
      <w:pPr>
        <w:spacing w:after="120" w:before="0"/>
      </w:pPr>
      <w:r>
        <w:rPr>
          <w:rFonts w:ascii="Aptos" w:cs="Aptos" w:eastAsia="Aptos" w:hAnsi="Aptos"/>
          <w:sz w:val="24"/>
          <w:szCs w:val="24"/>
          <w:b w:val="false"/>
          <w:bCs w:val="false"/>
          <w:i w:val="false"/>
          <w:iCs w:val="false"/>
        </w:rPr>
        <w:t xml:space="preserve">Scope: Applies to every member of the workforce whose duties fall within a track below, including Agency staff, county or contracted IT, and vendor personnel with access. Baseline security awareness training for all personnel is set by the Cybersecurity Training Plan and is not repeated here.</w:t>
      </w:r>
    </w:p>
    <w:p>
      <w:pPr>
        <w:pStyle w:val="Heading2"/>
        <w:spacing w:after="100" w:before="220"/>
      </w:pPr>
      <w:r>
        <w:rPr>
          <w:rFonts w:ascii="Aptos" w:cs="Aptos" w:eastAsia="Aptos" w:hAnsi="Aptos"/>
          <w:sz w:val="26"/>
          <w:szCs w:val="26"/>
          <w:b w:val="true"/>
          <w:bCs w:val="true"/>
          <w:i w:val="false"/>
          <w:iCs w:val="false"/>
          <w:color w:val="1B3A5C"/>
        </w:rPr>
        <w:t xml:space="preserve">2. How Training Is Assigned</w:t>
      </w:r>
    </w:p>
    <w:p>
      <w:pPr>
        <w:spacing w:after="140"/>
      </w:pPr>
      <w:r>
        <w:rPr>
          <w:rFonts w:ascii="Aptos" w:cs="Aptos" w:eastAsia="Aptos" w:hAnsi="Aptos"/>
          <w:sz w:val="24"/>
          <w:szCs w:val="24"/>
          <w:b w:val="false"/>
          <w:bCs w:val="false"/>
          <w:i w:val="true"/>
          <w:iCs w:val="true"/>
          <w:color w:val="595959"/>
        </w:rPr>
        <w:t xml:space="preserve">«Assignment is by function, not by job title. Work the trigger question for every person; one person may hold several tracks.»</w:t>
      </w:r>
    </w:p>
    <w:p>
      <w:pPr>
        <w:spacing w:after="120" w:before="0"/>
      </w:pPr>
      <w:r>
        <w:rPr>
          <w:rFonts w:ascii="Aptos" w:cs="Aptos" w:eastAsia="Aptos" w:hAnsi="Aptos"/>
          <w:sz w:val="24"/>
          <w:szCs w:val="24"/>
          <w:b w:val="false"/>
          <w:bCs w:val="false"/>
          <w:i w:val="false"/>
          <w:iCs w:val="false"/>
        </w:rPr>
        <w:t xml:space="preserve">Job titles vary between agencies, and the same title covers different work at different centers. Each track is therefore assigned by what a person does, not by what their title says. Work through the trigger in the middle column for every member of the workforce, including county or contracted IT and vendor personnel, then write the Agency's own role titles into the third column.</w:t>
      </w:r>
    </w:p>
    <w:p>
      <w:pPr>
        <w:spacing w:after="120" w:before="0"/>
      </w:pPr>
      <w:r>
        <w:rPr>
          <w:rFonts w:ascii="Aptos" w:cs="Aptos" w:eastAsia="Aptos" w:hAnsi="Aptos"/>
          <w:sz w:val="24"/>
          <w:szCs w:val="24"/>
          <w:b w:val="false"/>
          <w:bCs w:val="false"/>
          <w:i w:val="false"/>
          <w:iCs w:val="false"/>
        </w:rPr>
        <w:t xml:space="preserve">One person can hold several tracks. At a small agency most tracks land on the same one or two people, which is the expected result rather than a filing error. A track with nobody assigned is worth a second look: either the Agency does not perform that function at all, or someone is performing it without the training for it.</w:t>
      </w:r>
    </w:p>
    <w:p>
      <w:pPr>
        <w:spacing w:after="140"/>
      </w:pPr>
      <w:r>
        <w:rPr>
          <w:rFonts w:ascii="Aptos" w:cs="Aptos" w:eastAsia="Aptos" w:hAnsi="Aptos"/>
          <w:sz w:val="24"/>
          <w:szCs w:val="24"/>
          <w:b w:val="false"/>
          <w:bCs w:val="false"/>
          <w:i w:val="true"/>
          <w:iCs w:val="true"/>
          <w:color w:val="595959"/>
        </w:rPr>
        <w:t xml:space="preserve">«Fill the third column with the Agency's own role titles. Review the worksheet whenever staffing, contracts, or duties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460"/>
        <w:gridCol w:w="2400"/>
      </w:tblGrid>
      <w:tr>
        <w:trPr>
          <w:cantSplit/>
          <w:tblHeader/>
        </w:trPr>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Track</w:t>
            </w:r>
          </w:p>
        </w:tc>
        <w:tc>
          <w:tcPr>
            <w:tcW w:type="dxa" w:w="44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Assign this track to anyone who</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Agency roles assigned</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Secure Configuration and Maintenance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Configures, patches, hardens, or changes an Agency system.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{agencyRoleTitles}</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 Privileged and Elevated Access</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Holds an administrative, root, or other elevated credential on any Agency system, including county IT and vendor accounts.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{agencyRoleTitles2}</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 Monitoring and Log Review</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Reviews logs, triages alerts, or operates a monitoring tool.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{agencyRoleTitles3}</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 Incident Response and Evidence Handling</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Holds an assigned role in the Incident Response Plan (IRP), or may handle evidence.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{agencyRoleTitles4}</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 Sensitive Data and Media Handling</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Creates, views, transmits, transports, or destroys Restricted or Confidential information, or the media that holds it.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{agencyRoleTitles5}</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 Physical and Visual Safeguards</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Works in, or escorts anyone through, a controlled area.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{agencyRoleTitles6}</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 Program Governance and Oversight</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Approves policy, accepts risk on the Agency's behalf, or reports program status to a board, county authority, or state authority.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{agencyRoleTitles7}</w:t>
            </w:r>
          </w:p>
        </w:tc>
      </w:tr>
    </w:tbl>
    <w:p>
      <w:pPr>
        <w:pStyle w:val="Heading2"/>
        <w:spacing w:after="100" w:before="220"/>
      </w:pPr>
      <w:r>
        <w:rPr>
          <w:rFonts w:ascii="Aptos" w:cs="Aptos" w:eastAsia="Aptos" w:hAnsi="Aptos"/>
          <w:sz w:val="26"/>
          <w:szCs w:val="26"/>
          <w:b w:val="true"/>
          <w:bCs w:val="true"/>
          <w:i w:val="false"/>
          <w:iCs w:val="false"/>
          <w:color w:val="1B3A5C"/>
        </w:rPr>
        <w:t xml:space="preserve">3. Delivery Method</w:t>
      </w:r>
    </w:p>
    <w:p>
      <w:pPr>
        <w:spacing w:after="140"/>
      </w:pPr>
      <w:r>
        <w:rPr>
          <w:rFonts w:ascii="Aptos" w:cs="Aptos" w:eastAsia="Aptos" w:hAnsi="Aptos"/>
          <w:sz w:val="24"/>
          <w:szCs w:val="24"/>
          <w:b w:val="false"/>
          <w:bCs w:val="false"/>
          <w:i w:val="true"/>
          <w:iCs w:val="true"/>
          <w:color w:val="595959"/>
        </w:rPr>
        <w:t xml:space="preserve">«How the tracks are delivered, how long they run, and when.»</w:t>
      </w:r>
    </w:p>
    <w:p>
      <w:pPr>
        <w:spacing w:after="120" w:before="0"/>
      </w:pPr>
      <w:r>
        <w:rPr>
          <w:rFonts w:ascii="Aptos" w:cs="Aptos" w:eastAsia="Aptos" w:hAnsi="Aptos"/>
          <w:sz w:val="24"/>
          <w:szCs w:val="24"/>
          <w:b w:val="false"/>
          <w:bCs w:val="false"/>
          <w:i w:val="false"/>
          <w:iCs w:val="false"/>
        </w:rPr>
        <w:t xml:space="preserve">Delivery: [methods, for example a short online module, a briefing at shift change, a vendor-led session, or a supervised walkthrough on the system itself]. A track may be split across shifts, provided the whole track is completed before the due date.</w:t>
      </w:r>
    </w:p>
    <w:p>
      <w:pPr>
        <w:spacing w:after="120" w:before="0"/>
      </w:pPr>
      <w:r>
        <w:rPr>
          <w:rFonts w:ascii="Aptos" w:cs="Aptos" w:eastAsia="Aptos" w:hAnsi="Aptos"/>
          <w:sz w:val="24"/>
          <w:szCs w:val="24"/>
          <w:b w:val="false"/>
          <w:bCs w:val="false"/>
          <w:i w:val="false"/>
          <w:iCs w:val="false"/>
        </w:rPr>
        <w:t xml:space="preserve">Duration: {expectedTimePerTrack}. Each track is delivered at assignment, before the person performs the function unsupervised, and then on the refresh cadence stated in the track.</w:t>
      </w:r>
    </w:p>
    <w:p>
      <w:pPr>
        <w:spacing w:after="120" w:before="0"/>
      </w:pPr>
      <w:r>
        <w:rPr>
          <w:rFonts w:ascii="Aptos" w:cs="Aptos" w:eastAsia="Aptos" w:hAnsi="Aptos"/>
          <w:sz w:val="24"/>
          <w:szCs w:val="24"/>
          <w:b w:val="false"/>
          <w:bCs w:val="false"/>
          <w:i w:val="false"/>
          <w:iCs w:val="false"/>
        </w:rPr>
        <w:t xml:space="preserve">Where a track is delivered by a vendor or by county IT, the Agency keeps the record and confirms the content covers the modules listed here. Buying the training does not transfer the obligation to prove it happened.</w:t>
      </w:r>
    </w:p>
    <w:p>
      <w:pPr>
        <w:pStyle w:val="Heading2"/>
        <w:spacing w:after="100" w:before="220"/>
      </w:pPr>
      <w:r>
        <w:rPr>
          <w:rFonts w:ascii="Aptos" w:cs="Aptos" w:eastAsia="Aptos" w:hAnsi="Aptos"/>
          <w:sz w:val="26"/>
          <w:szCs w:val="26"/>
          <w:b w:val="true"/>
          <w:bCs w:val="true"/>
          <w:i w:val="false"/>
          <w:iCs w:val="false"/>
          <w:color w:val="1B3A5C"/>
        </w:rPr>
        <w:t xml:space="preserve">4. Training Tracks</w:t>
      </w:r>
    </w:p>
    <w:p>
      <w:pPr>
        <w:spacing w:after="140"/>
      </w:pPr>
      <w:r>
        <w:rPr>
          <w:rFonts w:ascii="Aptos" w:cs="Aptos" w:eastAsia="Aptos" w:hAnsi="Aptos"/>
          <w:sz w:val="24"/>
          <w:szCs w:val="24"/>
          <w:b w:val="false"/>
          <w:bCs w:val="false"/>
          <w:i w:val="true"/>
          <w:iCs w:val="true"/>
          <w:color w:val="595959"/>
        </w:rPr>
        <w:t xml:space="preserve">«Deliver only the tracks a person is assigned. Do not deliver all seven to everyone.»</w:t>
      </w:r>
    </w:p>
    <w:p>
      <w:pPr>
        <w:spacing w:after="120" w:before="0"/>
      </w:pPr>
      <w:r>
        <w:rPr>
          <w:rFonts w:ascii="Aptos" w:cs="Aptos" w:eastAsia="Aptos" w:hAnsi="Aptos"/>
          <w:sz w:val="24"/>
          <w:szCs w:val="24"/>
          <w:b w:val="false"/>
          <w:bCs w:val="false"/>
          <w:i w:val="false"/>
          <w:iCs w:val="false"/>
        </w:rPr>
        <w:t xml:space="preserve">Every track sits above the baseline security awareness training that all personnel complete. Where a topic appears in both, the baseline teaches the rule and the track teaches the practice: the baseline says do not let anyone tailgate, and Track F teaches how to challenge, escort, and report.</w:t>
      </w:r>
    </w:p>
    <w:p>
      <w:pPr>
        <w:pStyle w:val="Heading3"/>
      </w:pPr>
      <w:r>
        <w:t xml:space="preserve">Track A. Secure Configuration and Maintenance</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configures, patches, hardens, or changes an Agency system. At most agencies this covers county or contracted IT, the CAD or ESInet vendor's field technician, and anyone who installs or updates software on a dispatch workstation.</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build a system to the Agency's configuration baseline and record any deviation they could not close</w:t>
      </w:r>
    </w:p>
    <w:p>
      <w:pPr>
        <w:pStyle w:val="ListParagraph"/>
        <w:numPr>
          <w:ilvl w:val="0"/>
          <w:numId w:val="2"/>
        </w:numPr>
        <w:spacing w:after="60"/>
      </w:pPr>
      <w:r>
        <w:rPr>
          <w:rFonts w:ascii="Aptos" w:cs="Aptos" w:eastAsia="Aptos" w:hAnsi="Aptos"/>
          <w:sz w:val="24"/>
          <w:szCs w:val="24"/>
          <w:b w:val="false"/>
          <w:bCs w:val="false"/>
          <w:i w:val="false"/>
          <w:iCs w:val="false"/>
        </w:rPr>
        <w:t xml:space="preserve">test a patch before it reaches a live dispatch position, and say what “tested” means</w:t>
      </w:r>
    </w:p>
    <w:p>
      <w:pPr>
        <w:pStyle w:val="ListParagraph"/>
        <w:numPr>
          <w:ilvl w:val="0"/>
          <w:numId w:val="2"/>
        </w:numPr>
        <w:spacing w:after="60"/>
      </w:pPr>
      <w:r>
        <w:rPr>
          <w:rFonts w:ascii="Aptos" w:cs="Aptos" w:eastAsia="Aptos" w:hAnsi="Aptos"/>
          <w:sz w:val="24"/>
          <w:szCs w:val="24"/>
          <w:b w:val="false"/>
          <w:bCs w:val="false"/>
          <w:i w:val="false"/>
          <w:iCs w:val="false"/>
        </w:rPr>
        <w:t xml:space="preserve">recognize a change that needs approval before it is made</w:t>
      </w:r>
    </w:p>
    <w:p>
      <w:pPr>
        <w:pStyle w:val="ListParagraph"/>
        <w:numPr>
          <w:ilvl w:val="0"/>
          <w:numId w:val="2"/>
        </w:numPr>
        <w:spacing w:after="60"/>
      </w:pPr>
      <w:r>
        <w:rPr>
          <w:rFonts w:ascii="Aptos" w:cs="Aptos" w:eastAsia="Aptos" w:hAnsi="Aptos"/>
          <w:sz w:val="24"/>
          <w:szCs w:val="24"/>
          <w:b w:val="false"/>
          <w:bCs w:val="false"/>
          <w:i w:val="false"/>
          <w:iCs w:val="false"/>
        </w:rPr>
        <w:t xml:space="preserve">spot configuration drift and report it</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0"/>
        </w:numPr>
        <w:spacing w:after="60"/>
      </w:pPr>
      <w:r>
        <w:rPr>
          <w:rFonts w:ascii="Aptos" w:cs="Aptos" w:eastAsia="Aptos" w:hAnsi="Aptos"/>
          <w:sz w:val="24"/>
          <w:szCs w:val="24"/>
          <w:b w:val="true"/>
          <w:bCs w:val="true"/>
          <w:i w:val="false"/>
          <w:iCs w:val="false"/>
        </w:rPr>
        <w:t xml:space="preserve">Working from a baseline. </w:t>
      </w:r>
      <w:r>
        <w:rPr>
          <w:rFonts w:ascii="Aptos" w:cs="Aptos" w:eastAsia="Aptos" w:hAnsi="Aptos"/>
          <w:sz w:val="24"/>
          <w:szCs w:val="24"/>
          <w:b w:val="false"/>
          <w:bCs w:val="false"/>
          <w:i w:val="false"/>
          <w:iCs w:val="false"/>
        </w:rPr>
        <w:t xml:space="preserve">The baseline is the approved starting state for each system type. A build that departs from it is a deviation, not a preference. Every deviation is recorded with a reason and a review date, so the next technician inherits a decision instead of a mystery.</w:t>
      </w:r>
    </w:p>
    <w:p>
      <w:pPr>
        <w:pStyle w:val="ListParagraph"/>
        <w:numPr>
          <w:ilvl w:val="0"/>
          <w:numId w:val="200"/>
        </w:numPr>
        <w:spacing w:after="60"/>
      </w:pPr>
      <w:r>
        <w:rPr>
          <w:rFonts w:ascii="Aptos" w:cs="Aptos" w:eastAsia="Aptos" w:hAnsi="Aptos"/>
          <w:sz w:val="24"/>
          <w:szCs w:val="24"/>
          <w:b w:val="true"/>
          <w:bCs w:val="true"/>
          <w:i w:val="false"/>
          <w:iCs w:val="false"/>
        </w:rPr>
        <w:t xml:space="preserve">Patching without taking dispatch down. </w:t>
      </w:r>
      <w:r>
        <w:rPr>
          <w:rFonts w:ascii="Aptos" w:cs="Aptos" w:eastAsia="Aptos" w:hAnsi="Aptos"/>
          <w:sz w:val="24"/>
          <w:szCs w:val="24"/>
          <w:b w:val="false"/>
          <w:bCs w:val="false"/>
          <w:i w:val="false"/>
          <w:iCs w:val="false"/>
        </w:rPr>
        <w:t xml:space="preserve">Patches reach a test position or a maintenance window first. A live 9-1-1 position is never the test. The rollback path is known before the patch is applied. An emergency patch follows the same path compressed, not skipped.</w:t>
      </w:r>
    </w:p>
    <w:p>
      <w:pPr>
        <w:pStyle w:val="ListParagraph"/>
        <w:numPr>
          <w:ilvl w:val="0"/>
          <w:numId w:val="200"/>
        </w:numPr>
        <w:spacing w:after="60"/>
      </w:pPr>
      <w:r>
        <w:rPr>
          <w:rFonts w:ascii="Aptos" w:cs="Aptos" w:eastAsia="Aptos" w:hAnsi="Aptos"/>
          <w:sz w:val="24"/>
          <w:szCs w:val="24"/>
          <w:b w:val="true"/>
          <w:bCs w:val="true"/>
          <w:i w:val="false"/>
          <w:iCs w:val="false"/>
        </w:rPr>
        <w:t xml:space="preserve">Turning off what came in the box. </w:t>
      </w:r>
      <w:r>
        <w:rPr>
          <w:rFonts w:ascii="Aptos" w:cs="Aptos" w:eastAsia="Aptos" w:hAnsi="Aptos"/>
          <w:sz w:val="24"/>
          <w:szCs w:val="24"/>
          <w:b w:val="false"/>
          <w:bCs w:val="false"/>
          <w:i w:val="false"/>
          <w:iCs w:val="false"/>
        </w:rPr>
        <w:t xml:space="preserve">Default services, ports, and accounts that shipped with the system and are not needed get disabled. “We might need it later” is not a reason to leave an attack path open.</w:t>
      </w:r>
    </w:p>
    <w:p>
      <w:pPr>
        <w:pStyle w:val="ListParagraph"/>
        <w:numPr>
          <w:ilvl w:val="0"/>
          <w:numId w:val="200"/>
        </w:numPr>
        <w:spacing w:after="60"/>
      </w:pPr>
      <w:r>
        <w:rPr>
          <w:rFonts w:ascii="Aptos" w:cs="Aptos" w:eastAsia="Aptos" w:hAnsi="Aptos"/>
          <w:sz w:val="24"/>
          <w:szCs w:val="24"/>
          <w:b w:val="true"/>
          <w:bCs w:val="true"/>
          <w:i w:val="false"/>
          <w:iCs w:val="false"/>
        </w:rPr>
        <w:t xml:space="preserve">Change approval. </w:t>
      </w:r>
      <w:r>
        <w:rPr>
          <w:rFonts w:ascii="Aptos" w:cs="Aptos" w:eastAsia="Aptos" w:hAnsi="Aptos"/>
          <w:sz w:val="24"/>
          <w:szCs w:val="24"/>
          <w:b w:val="false"/>
          <w:bCs w:val="false"/>
          <w:i w:val="false"/>
          <w:iCs w:val="false"/>
        </w:rPr>
        <w:t xml:space="preserve">What counts as a change, who approves it, and what gets recorded. An undocumented change is the hardest kind of outage to diagnose, because nobody can tell you what moved.</w:t>
      </w:r>
    </w:p>
    <w:p>
      <w:pPr>
        <w:pStyle w:val="ListParagraph"/>
        <w:numPr>
          <w:ilvl w:val="0"/>
          <w:numId w:val="200"/>
        </w:numPr>
        <w:spacing w:after="60"/>
      </w:pPr>
      <w:r>
        <w:rPr>
          <w:rFonts w:ascii="Aptos" w:cs="Aptos" w:eastAsia="Aptos" w:hAnsi="Aptos"/>
          <w:sz w:val="24"/>
          <w:szCs w:val="24"/>
          <w:b w:val="true"/>
          <w:bCs w:val="true"/>
          <w:i w:val="false"/>
          <w:iCs w:val="false"/>
        </w:rPr>
        <w:t xml:space="preserve">Drift. </w:t>
      </w:r>
      <w:r>
        <w:rPr>
          <w:rFonts w:ascii="Aptos" w:cs="Aptos" w:eastAsia="Aptos" w:hAnsi="Aptos"/>
          <w:sz w:val="24"/>
          <w:szCs w:val="24"/>
          <w:b w:val="false"/>
          <w:bCs w:val="false"/>
          <w:i w:val="false"/>
          <w:iCs w:val="false"/>
        </w:rPr>
        <w:t xml:space="preserve">Systems wander away from baseline over time through small local fixes. How the Agency checks, how often, and what happens when a check finds something.</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The technician walks one system from baseline to running state and names every deviation with its justification. Passing means each deviation is either closed or recorded, and the rollback path for the last patch applied can be described from memory.</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At assignment, then annually, and whenever the System Configuration Baselines (per system type) change.</w:t>
      </w:r>
    </w:p>
    <w:p>
      <w:pPr>
        <w:spacing w:after="120" w:before="0"/>
      </w:pPr>
      <w:r>
        <w:rPr>
          <w:rFonts w:ascii="Aptos" w:cs="Aptos" w:eastAsia="Aptos" w:hAnsi="Aptos"/>
          <w:sz w:val="24"/>
          <w:szCs w:val="24"/>
          <w:b w:val="true"/>
          <w:bCs w:val="true"/>
          <w:i w:val="false"/>
          <w:iCs w:val="false"/>
        </w:rPr>
        <w:t xml:space="preserve">Credentials and continuing education. </w:t>
      </w:r>
      <w:r>
        <w:rPr>
          <w:rFonts w:ascii="Aptos" w:cs="Aptos" w:eastAsia="Aptos" w:hAnsi="Aptos"/>
          <w:sz w:val="24"/>
          <w:szCs w:val="24"/>
          <w:b w:val="false"/>
          <w:bCs w:val="false"/>
          <w:i w:val="false"/>
          <w:iCs w:val="false"/>
        </w:rPr>
        <w:t xml:space="preserve">Certification is assessed against the equipment the person actually maintains. A general technician-level security certification is the common entry point; platform certifications matter where the Agency runs that platform. [Name the credentials the Agency supports for this track.]</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System Configuration Baselines (per system type) · Change Management Policy · Configuration Drift Detection Records · Endpoint Hardening Checklist · Patch Testing Procedure · Patch Management Schedule &amp; Tracking Log.</w:t>
      </w:r>
    </w:p>
    <w:p>
      <w:pPr>
        <w:pStyle w:val="Heading3"/>
      </w:pPr>
      <w:r>
        <w:t xml:space="preserve">Track B. Privileged and Elevated Access</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holds an administrative, root, or other elevated credential on any Agency system, including county IT and vendor accounts. This covers the account a vendor uses during a maintenance window and any dispatcher who administers CAD users, not only the people with “administrator” in a job title.</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use an elevated account only for work that requires it, and a standard account for everything else</w:t>
      </w:r>
    </w:p>
    <w:p>
      <w:pPr>
        <w:pStyle w:val="ListParagraph"/>
        <w:numPr>
          <w:ilvl w:val="0"/>
          <w:numId w:val="2"/>
        </w:numPr>
        <w:spacing w:after="60"/>
      </w:pPr>
      <w:r>
        <w:rPr>
          <w:rFonts w:ascii="Aptos" w:cs="Aptos" w:eastAsia="Aptos" w:hAnsi="Aptos"/>
          <w:sz w:val="24"/>
          <w:szCs w:val="24"/>
          <w:b w:val="false"/>
          <w:bCs w:val="false"/>
          <w:i w:val="false"/>
          <w:iCs w:val="false"/>
        </w:rPr>
        <w:t xml:space="preserve">state the conduct rules that attach to their elevated account</w:t>
      </w:r>
    </w:p>
    <w:p>
      <w:pPr>
        <w:pStyle w:val="ListParagraph"/>
        <w:numPr>
          <w:ilvl w:val="0"/>
          <w:numId w:val="2"/>
        </w:numPr>
        <w:spacing w:after="60"/>
      </w:pPr>
      <w:r>
        <w:rPr>
          <w:rFonts w:ascii="Aptos" w:cs="Aptos" w:eastAsia="Aptos" w:hAnsi="Aptos"/>
          <w:sz w:val="24"/>
          <w:szCs w:val="24"/>
          <w:b w:val="false"/>
          <w:bCs w:val="false"/>
          <w:i w:val="false"/>
          <w:iCs w:val="false"/>
        </w:rPr>
        <w:t xml:space="preserve">recognize an action that needs a second approval before it is taken</w:t>
      </w:r>
    </w:p>
    <w:p>
      <w:pPr>
        <w:pStyle w:val="ListParagraph"/>
        <w:numPr>
          <w:ilvl w:val="0"/>
          <w:numId w:val="2"/>
        </w:numPr>
        <w:spacing w:after="60"/>
      </w:pPr>
      <w:r>
        <w:rPr>
          <w:rFonts w:ascii="Aptos" w:cs="Aptos" w:eastAsia="Aptos" w:hAnsi="Aptos"/>
          <w:sz w:val="24"/>
          <w:szCs w:val="24"/>
          <w:b w:val="false"/>
          <w:bCs w:val="false"/>
          <w:i w:val="false"/>
          <w:iCs w:val="false"/>
        </w:rPr>
        <w:t xml:space="preserve">report a suspected credential exposure without waiting to be certain</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1"/>
        </w:numPr>
        <w:spacing w:after="60"/>
      </w:pPr>
      <w:r>
        <w:rPr>
          <w:rFonts w:ascii="Aptos" w:cs="Aptos" w:eastAsia="Aptos" w:hAnsi="Aptos"/>
          <w:sz w:val="24"/>
          <w:szCs w:val="24"/>
          <w:b w:val="true"/>
          <w:bCs w:val="true"/>
          <w:i w:val="false"/>
          <w:iCs w:val="false"/>
        </w:rPr>
        <w:t xml:space="preserve">Two accounts, two purposes. </w:t>
      </w:r>
      <w:r>
        <w:rPr>
          <w:rFonts w:ascii="Aptos" w:cs="Aptos" w:eastAsia="Aptos" w:hAnsi="Aptos"/>
          <w:sz w:val="24"/>
          <w:szCs w:val="24"/>
          <w:b w:val="false"/>
          <w:bCs w:val="false"/>
          <w:i w:val="false"/>
          <w:iCs w:val="false"/>
        </w:rPr>
        <w:t xml:space="preserve">Elevated accounts are for administrative work. Email, browsing, and daily use happen on a standard account. The reason is blast radius: a phishing click on an admin session costs far more than the same click on a standard one.</w:t>
      </w:r>
    </w:p>
    <w:p>
      <w:pPr>
        <w:pStyle w:val="ListParagraph"/>
        <w:numPr>
          <w:ilvl w:val="0"/>
          <w:numId w:val="201"/>
        </w:numPr>
        <w:spacing w:after="60"/>
      </w:pPr>
      <w:r>
        <w:rPr>
          <w:rFonts w:ascii="Aptos" w:cs="Aptos" w:eastAsia="Aptos" w:hAnsi="Aptos"/>
          <w:sz w:val="24"/>
          <w:szCs w:val="24"/>
          <w:b w:val="true"/>
          <w:bCs w:val="true"/>
          <w:i w:val="false"/>
          <w:iCs w:val="false"/>
        </w:rPr>
        <w:t xml:space="preserve">The rules that come with the privilege. </w:t>
      </w:r>
      <w:r>
        <w:rPr>
          <w:rFonts w:ascii="Aptos" w:cs="Aptos" w:eastAsia="Aptos" w:hAnsi="Aptos"/>
          <w:sz w:val="24"/>
          <w:szCs w:val="24"/>
          <w:b w:val="false"/>
          <w:bCs w:val="false"/>
          <w:i w:val="false"/>
          <w:iCs w:val="false"/>
        </w:rPr>
        <w:t xml:space="preserve">What an administrator may not do even though the system will allow it: opening records without a business need, altering logs, creating accounts outside the request process. The acknowledgment is signed before the account is issued and re-signed on the review cycle.</w:t>
      </w:r>
    </w:p>
    <w:p>
      <w:pPr>
        <w:pStyle w:val="ListParagraph"/>
        <w:numPr>
          <w:ilvl w:val="0"/>
          <w:numId w:val="201"/>
        </w:numPr>
        <w:spacing w:after="60"/>
      </w:pPr>
      <w:r>
        <w:rPr>
          <w:rFonts w:ascii="Aptos" w:cs="Aptos" w:eastAsia="Aptos" w:hAnsi="Aptos"/>
          <w:sz w:val="24"/>
          <w:szCs w:val="24"/>
          <w:b w:val="true"/>
          <w:bCs w:val="true"/>
          <w:i w:val="false"/>
          <w:iCs w:val="false"/>
        </w:rPr>
        <w:t xml:space="preserve">Accountability. </w:t>
      </w:r>
      <w:r>
        <w:rPr>
          <w:rFonts w:ascii="Aptos" w:cs="Aptos" w:eastAsia="Aptos" w:hAnsi="Aptos"/>
          <w:sz w:val="24"/>
          <w:szCs w:val="24"/>
          <w:b w:val="false"/>
          <w:bCs w:val="false"/>
          <w:i w:val="false"/>
          <w:iCs w:val="false"/>
        </w:rPr>
        <w:t xml:space="preserve">Privileged actions are logged and reviewed. Accountability attaches to the person, not the account, which is why shared administrator credentials are not used. If two people can use one credential, neither can be held to what it did.</w:t>
      </w:r>
    </w:p>
    <w:p>
      <w:pPr>
        <w:pStyle w:val="ListParagraph"/>
        <w:numPr>
          <w:ilvl w:val="0"/>
          <w:numId w:val="201"/>
        </w:numPr>
        <w:spacing w:after="60"/>
      </w:pPr>
      <w:r>
        <w:rPr>
          <w:rFonts w:ascii="Aptos" w:cs="Aptos" w:eastAsia="Aptos" w:hAnsi="Aptos"/>
          <w:sz w:val="24"/>
          <w:szCs w:val="24"/>
          <w:b w:val="true"/>
          <w:bCs w:val="true"/>
          <w:i w:val="false"/>
          <w:iCs w:val="false"/>
        </w:rPr>
        <w:t xml:space="preserve">Vendor and temporary elevation. </w:t>
      </w:r>
      <w:r>
        <w:rPr>
          <w:rFonts w:ascii="Aptos" w:cs="Aptos" w:eastAsia="Aptos" w:hAnsi="Aptos"/>
          <w:sz w:val="24"/>
          <w:szCs w:val="24"/>
          <w:b w:val="false"/>
          <w:bCs w:val="false"/>
          <w:i w:val="false"/>
          <w:iCs w:val="false"/>
        </w:rPr>
        <w:t xml:space="preserve">Elevation is granted for a defined window and removed when the window closes. Who authorizes it, what is recorded, and who confirms the removal.</w:t>
      </w:r>
    </w:p>
    <w:p>
      <w:pPr>
        <w:pStyle w:val="ListParagraph"/>
        <w:numPr>
          <w:ilvl w:val="0"/>
          <w:numId w:val="201"/>
        </w:numPr>
        <w:spacing w:after="60"/>
      </w:pPr>
      <w:r>
        <w:rPr>
          <w:rFonts w:ascii="Aptos" w:cs="Aptos" w:eastAsia="Aptos" w:hAnsi="Aptos"/>
          <w:sz w:val="24"/>
          <w:szCs w:val="24"/>
          <w:b w:val="true"/>
          <w:bCs w:val="true"/>
          <w:i w:val="false"/>
          <w:iCs w:val="false"/>
        </w:rPr>
        <w:t xml:space="preserve">When a credential is exposed. </w:t>
      </w:r>
      <w:r>
        <w:rPr>
          <w:rFonts w:ascii="Aptos" w:cs="Aptos" w:eastAsia="Aptos" w:hAnsi="Aptos"/>
          <w:sz w:val="24"/>
          <w:szCs w:val="24"/>
          <w:b w:val="false"/>
          <w:bCs w:val="false"/>
          <w:i w:val="false"/>
          <w:iCs w:val="false"/>
        </w:rPr>
        <w:t xml:space="preserve">What counts as exposure, who to tell, and why reporting a suspicion beats confirming a breach. A false alarm costs an hour; a delayed report costs the investigation.</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A short scenario set in which the learner decides whether each action is permitted, needs approval, or must be reported. Passing requires every reportable scenario identified correctly. Missing a reportable event fails the check regardless of the other answers.</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Before the elevated account is issued, then annually, and on any change to the privileged access rules. The conduct acknowledgment is re-signed on the same cycle.</w:t>
      </w:r>
    </w:p>
    <w:p>
      <w:pPr>
        <w:spacing w:after="120" w:before="0"/>
      </w:pPr>
      <w:r>
        <w:rPr>
          <w:rFonts w:ascii="Aptos" w:cs="Aptos" w:eastAsia="Aptos" w:hAnsi="Aptos"/>
          <w:sz w:val="24"/>
          <w:szCs w:val="24"/>
          <w:b w:val="true"/>
          <w:bCs w:val="true"/>
          <w:i w:val="false"/>
          <w:iCs w:val="false"/>
        </w:rPr>
        <w:t xml:space="preserve">Credentials and continuing education. </w:t>
      </w:r>
      <w:r>
        <w:rPr>
          <w:rFonts w:ascii="Aptos" w:cs="Aptos" w:eastAsia="Aptos" w:hAnsi="Aptos"/>
          <w:sz w:val="24"/>
          <w:szCs w:val="24"/>
          <w:b w:val="false"/>
          <w:bCs w:val="false"/>
          <w:i w:val="false"/>
          <w:iCs w:val="false"/>
        </w:rPr>
        <w:t xml:space="preserve">No separate credential is expected for this track. Where the Agency runs a platform with its own administration training (directory services, CAD administration, network devices), that vendor training counts toward this track. [Name the platform training the Agency requires.]</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Privileged Access Management (PAM) Policy · Acceptable Use Policy (AUP) · Access Control Policy · Privileged &amp; Service Account Inventory · Signed Acknowledgment Records.</w:t>
      </w:r>
    </w:p>
    <w:p>
      <w:pPr>
        <w:pStyle w:val="Heading3"/>
      </w:pPr>
      <w:r>
        <w:t xml:space="preserve">Track C. Monitoring and Log Review</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reviews logs, triages alerts, or operates a monitoring tool. At a small agency this is often the same person who holds Track A, working through a monthly review rather than a live console.</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complete a log review on the Agency's cycle and record that it happened</w:t>
      </w:r>
    </w:p>
    <w:p>
      <w:pPr>
        <w:pStyle w:val="ListParagraph"/>
        <w:numPr>
          <w:ilvl w:val="0"/>
          <w:numId w:val="2"/>
        </w:numPr>
        <w:spacing w:after="60"/>
      </w:pPr>
      <w:r>
        <w:rPr>
          <w:rFonts w:ascii="Aptos" w:cs="Aptos" w:eastAsia="Aptos" w:hAnsi="Aptos"/>
          <w:sz w:val="24"/>
          <w:szCs w:val="24"/>
          <w:b w:val="false"/>
          <w:bCs w:val="false"/>
          <w:i w:val="false"/>
          <w:iCs w:val="false"/>
        </w:rPr>
        <w:t xml:space="preserve">separate an alert that needs action from routine noise</w:t>
      </w:r>
    </w:p>
    <w:p>
      <w:pPr>
        <w:pStyle w:val="ListParagraph"/>
        <w:numPr>
          <w:ilvl w:val="0"/>
          <w:numId w:val="2"/>
        </w:numPr>
        <w:spacing w:after="60"/>
      </w:pPr>
      <w:r>
        <w:rPr>
          <w:rFonts w:ascii="Aptos" w:cs="Aptos" w:eastAsia="Aptos" w:hAnsi="Aptos"/>
          <w:sz w:val="24"/>
          <w:szCs w:val="24"/>
          <w:b w:val="false"/>
          <w:bCs w:val="false"/>
          <w:i w:val="false"/>
          <w:iCs w:val="false"/>
        </w:rPr>
        <w:t xml:space="preserve">escalate on the Agency's stated threshold rather than personal judgment</w:t>
      </w:r>
    </w:p>
    <w:p>
      <w:pPr>
        <w:pStyle w:val="ListParagraph"/>
        <w:numPr>
          <w:ilvl w:val="0"/>
          <w:numId w:val="2"/>
        </w:numPr>
        <w:spacing w:after="60"/>
      </w:pPr>
      <w:r>
        <w:rPr>
          <w:rFonts w:ascii="Aptos" w:cs="Aptos" w:eastAsia="Aptos" w:hAnsi="Aptos"/>
          <w:sz w:val="24"/>
          <w:szCs w:val="24"/>
          <w:b w:val="false"/>
          <w:bCs w:val="false"/>
          <w:i w:val="false"/>
          <w:iCs w:val="false"/>
        </w:rPr>
        <w:t xml:space="preserve">explain what “we would have caught it” actually requires</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2"/>
        </w:numPr>
        <w:spacing w:after="60"/>
      </w:pPr>
      <w:r>
        <w:rPr>
          <w:rFonts w:ascii="Aptos" w:cs="Aptos" w:eastAsia="Aptos" w:hAnsi="Aptos"/>
          <w:sz w:val="24"/>
          <w:szCs w:val="24"/>
          <w:b w:val="true"/>
          <w:bCs w:val="true"/>
          <w:i w:val="false"/>
          <w:iCs w:val="false"/>
        </w:rPr>
        <w:t xml:space="preserve">What is logged, and what that is worth. </w:t>
      </w:r>
      <w:r>
        <w:rPr>
          <w:rFonts w:ascii="Aptos" w:cs="Aptos" w:eastAsia="Aptos" w:hAnsi="Aptos"/>
          <w:sz w:val="24"/>
          <w:szCs w:val="24"/>
          <w:b w:val="false"/>
          <w:bCs w:val="false"/>
          <w:i w:val="false"/>
          <w:iCs w:val="false"/>
        </w:rPr>
        <w:t xml:space="preserve">Which systems generate logs and what each is good for. Logging and reviewing are different activities: a log nobody reads is storage, not detection.</w:t>
      </w:r>
    </w:p>
    <w:p>
      <w:pPr>
        <w:pStyle w:val="ListParagraph"/>
        <w:numPr>
          <w:ilvl w:val="0"/>
          <w:numId w:val="202"/>
        </w:numPr>
        <w:spacing w:after="60"/>
      </w:pPr>
      <w:r>
        <w:rPr>
          <w:rFonts w:ascii="Aptos" w:cs="Aptos" w:eastAsia="Aptos" w:hAnsi="Aptos"/>
          <w:sz w:val="24"/>
          <w:szCs w:val="24"/>
          <w:b w:val="true"/>
          <w:bCs w:val="true"/>
          <w:i w:val="false"/>
          <w:iCs w:val="false"/>
        </w:rPr>
        <w:t xml:space="preserve">The review itself. </w:t>
      </w:r>
      <w:r>
        <w:rPr>
          <w:rFonts w:ascii="Aptos" w:cs="Aptos" w:eastAsia="Aptos" w:hAnsi="Aptos"/>
          <w:sz w:val="24"/>
          <w:szCs w:val="24"/>
          <w:b w:val="false"/>
          <w:bCs w:val="false"/>
          <w:i w:val="false"/>
          <w:iCs w:val="false"/>
        </w:rPr>
        <w:t xml:space="preserve">The cycle, what the reviewer looks for, and what gets written down when nothing turns up. A review with no findings is still evidence, and an absent record reads to an assessor as an absent review.</w:t>
      </w:r>
    </w:p>
    <w:p>
      <w:pPr>
        <w:pStyle w:val="ListParagraph"/>
        <w:numPr>
          <w:ilvl w:val="0"/>
          <w:numId w:val="202"/>
        </w:numPr>
        <w:spacing w:after="60"/>
      </w:pPr>
      <w:r>
        <w:rPr>
          <w:rFonts w:ascii="Aptos" w:cs="Aptos" w:eastAsia="Aptos" w:hAnsi="Aptos"/>
          <w:sz w:val="24"/>
          <w:szCs w:val="24"/>
          <w:b w:val="true"/>
          <w:bCs w:val="true"/>
          <w:i w:val="false"/>
          <w:iCs w:val="false"/>
        </w:rPr>
        <w:t xml:space="preserve">Triage. </w:t>
      </w:r>
      <w:r>
        <w:rPr>
          <w:rFonts w:ascii="Aptos" w:cs="Aptos" w:eastAsia="Aptos" w:hAnsi="Aptos"/>
          <w:sz w:val="24"/>
          <w:szCs w:val="24"/>
          <w:b w:val="false"/>
          <w:bCs w:val="false"/>
          <w:i w:val="false"/>
          <w:iCs w:val="false"/>
        </w:rPr>
        <w:t xml:space="preserve">How to rank an alert, the false-positive patterns the Agency sees most, and the real cost of alert fatigue: the tenth identical alert gets the attention the first one deserved.</w:t>
      </w:r>
    </w:p>
    <w:p>
      <w:pPr>
        <w:pStyle w:val="ListParagraph"/>
        <w:numPr>
          <w:ilvl w:val="0"/>
          <w:numId w:val="202"/>
        </w:numPr>
        <w:spacing w:after="60"/>
      </w:pPr>
      <w:r>
        <w:rPr>
          <w:rFonts w:ascii="Aptos" w:cs="Aptos" w:eastAsia="Aptos" w:hAnsi="Aptos"/>
          <w:sz w:val="24"/>
          <w:szCs w:val="24"/>
          <w:b w:val="true"/>
          <w:bCs w:val="true"/>
          <w:i w:val="false"/>
          <w:iCs w:val="false"/>
        </w:rPr>
        <w:t xml:space="preserve">Escalation. </w:t>
      </w:r>
      <w:r>
        <w:rPr>
          <w:rFonts w:ascii="Aptos" w:cs="Aptos" w:eastAsia="Aptos" w:hAnsi="Aptos"/>
          <w:sz w:val="24"/>
          <w:szCs w:val="24"/>
          <w:b w:val="false"/>
          <w:bCs w:val="false"/>
          <w:i w:val="false"/>
          <w:iCs w:val="false"/>
        </w:rPr>
        <w:t xml:space="preserve">The threshold that turns an alert into an incident, who gets called, and how quickly. Escalating early is not a mistake. Waiting to be sure is.</w:t>
      </w:r>
    </w:p>
    <w:p>
      <w:pPr>
        <w:pStyle w:val="ListParagraph"/>
        <w:numPr>
          <w:ilvl w:val="0"/>
          <w:numId w:val="202"/>
        </w:numPr>
        <w:spacing w:after="60"/>
      </w:pPr>
      <w:r>
        <w:rPr>
          <w:rFonts w:ascii="Aptos" w:cs="Aptos" w:eastAsia="Aptos" w:hAnsi="Aptos"/>
          <w:sz w:val="24"/>
          <w:szCs w:val="24"/>
          <w:b w:val="true"/>
          <w:bCs w:val="true"/>
          <w:i w:val="false"/>
          <w:iCs w:val="false"/>
        </w:rPr>
        <w:t xml:space="preserve">Log integrity. </w:t>
      </w:r>
      <w:r>
        <w:rPr>
          <w:rFonts w:ascii="Aptos" w:cs="Aptos" w:eastAsia="Aptos" w:hAnsi="Aptos"/>
          <w:sz w:val="24"/>
          <w:szCs w:val="24"/>
          <w:b w:val="false"/>
          <w:bCs w:val="false"/>
          <w:i w:val="false"/>
          <w:iCs w:val="false"/>
        </w:rPr>
        <w:t xml:space="preserve">Logs are evidence. Nobody edits or deletes them, retention follows the schedule rather than available disk, and a gap in the record is itself a finding.</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The learner triages a set of sample alerts and states an escalation decision with a reason for each. Passing requires every alert above the threshold escalated. Under-escalation fails; over-escalation does not.</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At assignment, then annually, and whenever monitoring tooling or escalation thresholds change.</w:t>
      </w:r>
    </w:p>
    <w:p>
      <w:pPr>
        <w:spacing w:after="120" w:before="0"/>
      </w:pPr>
      <w:r>
        <w:rPr>
          <w:rFonts w:ascii="Aptos" w:cs="Aptos" w:eastAsia="Aptos" w:hAnsi="Aptos"/>
          <w:sz w:val="24"/>
          <w:szCs w:val="24"/>
          <w:b w:val="true"/>
          <w:bCs w:val="true"/>
          <w:i w:val="false"/>
          <w:iCs w:val="false"/>
        </w:rPr>
        <w:t xml:space="preserve">Credentials and continuing education. </w:t>
      </w:r>
      <w:r>
        <w:rPr>
          <w:rFonts w:ascii="Aptos" w:cs="Aptos" w:eastAsia="Aptos" w:hAnsi="Aptos"/>
          <w:sz w:val="24"/>
          <w:szCs w:val="24"/>
          <w:b w:val="false"/>
          <w:bCs w:val="false"/>
          <w:i w:val="false"/>
          <w:iCs w:val="false"/>
        </w:rPr>
        <w:t xml:space="preserve">Analyst-level certifications covering detection and response fit this track where the Agency runs its own monitoring. Where monitoring is contracted, the equivalent is training on reading and challenging the provider's reporting. [Name the credentials or provider training the Agency supports.]</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Logging Policy · Continuous Monitoring Plan · Alert Triage &amp; Escalation Procedure · Security Event Review Procedures · Log Retention Schedule.</w:t>
      </w:r>
    </w:p>
    <w:p>
      <w:pPr>
        <w:pStyle w:val="Heading3"/>
      </w:pPr>
      <w:r>
        <w:t xml:space="preserve">Track D. Incident Response and Evidence Handling</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holds an assigned role in the Incident Response Plan (IRP), or may handle evidence. This reaches further than the technical staff. Whoever answers the phone when a vendor reports a compromise is executing a step in the plan.</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carry out their assigned role in the Incident Response Plan (IRP) without reading it first</w:t>
      </w:r>
    </w:p>
    <w:p>
      <w:pPr>
        <w:pStyle w:val="ListParagraph"/>
        <w:numPr>
          <w:ilvl w:val="0"/>
          <w:numId w:val="2"/>
        </w:numPr>
        <w:spacing w:after="60"/>
      </w:pPr>
      <w:r>
        <w:rPr>
          <w:rFonts w:ascii="Aptos" w:cs="Aptos" w:eastAsia="Aptos" w:hAnsi="Aptos"/>
          <w:sz w:val="24"/>
          <w:szCs w:val="24"/>
          <w:b w:val="false"/>
          <w:bCs w:val="false"/>
          <w:i w:val="false"/>
          <w:iCs w:val="false"/>
        </w:rPr>
        <w:t xml:space="preserve">preserve evidence before taking an action that destroys it</w:t>
      </w:r>
    </w:p>
    <w:p>
      <w:pPr>
        <w:pStyle w:val="ListParagraph"/>
        <w:numPr>
          <w:ilvl w:val="0"/>
          <w:numId w:val="2"/>
        </w:numPr>
        <w:spacing w:after="60"/>
      </w:pPr>
      <w:r>
        <w:rPr>
          <w:rFonts w:ascii="Aptos" w:cs="Aptos" w:eastAsia="Aptos" w:hAnsi="Aptos"/>
          <w:sz w:val="24"/>
          <w:szCs w:val="24"/>
          <w:b w:val="false"/>
          <w:bCs w:val="false"/>
          <w:i w:val="false"/>
          <w:iCs w:val="false"/>
        </w:rPr>
        <w:t xml:space="preserve">identify which notification clocks a given incident starts</w:t>
      </w:r>
    </w:p>
    <w:p>
      <w:pPr>
        <w:pStyle w:val="ListParagraph"/>
        <w:numPr>
          <w:ilvl w:val="0"/>
          <w:numId w:val="2"/>
        </w:numPr>
        <w:spacing w:after="60"/>
      </w:pPr>
      <w:r>
        <w:rPr>
          <w:rFonts w:ascii="Aptos" w:cs="Aptos" w:eastAsia="Aptos" w:hAnsi="Aptos"/>
          <w:sz w:val="24"/>
          <w:szCs w:val="24"/>
          <w:b w:val="false"/>
          <w:bCs w:val="false"/>
          <w:i w:val="false"/>
          <w:iCs w:val="false"/>
        </w:rPr>
        <w:t xml:space="preserve">keep call-handling running while an incident is worked</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3"/>
        </w:numPr>
        <w:spacing w:after="60"/>
      </w:pPr>
      <w:r>
        <w:rPr>
          <w:rFonts w:ascii="Aptos" w:cs="Aptos" w:eastAsia="Aptos" w:hAnsi="Aptos"/>
          <w:sz w:val="24"/>
          <w:szCs w:val="24"/>
          <w:b w:val="true"/>
          <w:bCs w:val="true"/>
          <w:i w:val="false"/>
          <w:iCs w:val="false"/>
        </w:rPr>
        <w:t xml:space="preserve">Your role, before you need it. </w:t>
      </w:r>
      <w:r>
        <w:rPr>
          <w:rFonts w:ascii="Aptos" w:cs="Aptos" w:eastAsia="Aptos" w:hAnsi="Aptos"/>
          <w:sz w:val="24"/>
          <w:szCs w:val="24"/>
          <w:b w:val="false"/>
          <w:bCs w:val="false"/>
          <w:i w:val="false"/>
          <w:iCs w:val="false"/>
        </w:rPr>
        <w:t xml:space="preserve">Who declares an incident, who leads, and who calls whom. The plan is learned in training, not opened for the first time during the event.</w:t>
      </w:r>
    </w:p>
    <w:p>
      <w:pPr>
        <w:pStyle w:val="ListParagraph"/>
        <w:numPr>
          <w:ilvl w:val="0"/>
          <w:numId w:val="203"/>
        </w:numPr>
        <w:spacing w:after="60"/>
      </w:pPr>
      <w:r>
        <w:rPr>
          <w:rFonts w:ascii="Aptos" w:cs="Aptos" w:eastAsia="Aptos" w:hAnsi="Aptos"/>
          <w:sz w:val="24"/>
          <w:szCs w:val="24"/>
          <w:b w:val="true"/>
          <w:bCs w:val="true"/>
          <w:i w:val="false"/>
          <w:iCs w:val="false"/>
        </w:rPr>
        <w:t xml:space="preserve">Classification and the clock. </w:t>
      </w:r>
      <w:r>
        <w:rPr>
          <w:rFonts w:ascii="Aptos" w:cs="Aptos" w:eastAsia="Aptos" w:hAnsi="Aptos"/>
          <w:sz w:val="24"/>
          <w:szCs w:val="24"/>
          <w:b w:val="false"/>
          <w:bCs w:val="false"/>
          <w:i w:val="false"/>
          <w:iCs w:val="false"/>
        </w:rPr>
        <w:t xml:space="preserve">Severity drives the response, and certain classifications start notification timelines that run in business days regardless of when the incident is discovered. A Friday night discovery does not buy the weekend.</w:t>
      </w:r>
    </w:p>
    <w:p>
      <w:pPr>
        <w:pStyle w:val="ListParagraph"/>
        <w:numPr>
          <w:ilvl w:val="0"/>
          <w:numId w:val="203"/>
        </w:numPr>
        <w:spacing w:after="60"/>
      </w:pPr>
      <w:r>
        <w:rPr>
          <w:rFonts w:ascii="Aptos" w:cs="Aptos" w:eastAsia="Aptos" w:hAnsi="Aptos"/>
          <w:sz w:val="24"/>
          <w:szCs w:val="24"/>
          <w:b w:val="true"/>
          <w:bCs w:val="true"/>
          <w:i w:val="false"/>
          <w:iCs w:val="false"/>
        </w:rPr>
        <w:t xml:space="preserve">Preserve first. </w:t>
      </w:r>
      <w:r>
        <w:rPr>
          <w:rFonts w:ascii="Aptos" w:cs="Aptos" w:eastAsia="Aptos" w:hAnsi="Aptos"/>
          <w:sz w:val="24"/>
          <w:szCs w:val="24"/>
          <w:b w:val="false"/>
          <w:bCs w:val="false"/>
          <w:i w:val="false"/>
          <w:iCs w:val="false"/>
        </w:rPr>
        <w:t xml:space="preserve">Rebooting, reimaging, and “just cleaning it up” destroy the evidence that explains what happened. What to capture and in what order, and when to isolate a system rather than power it off.</w:t>
      </w:r>
    </w:p>
    <w:p>
      <w:pPr>
        <w:pStyle w:val="ListParagraph"/>
        <w:numPr>
          <w:ilvl w:val="0"/>
          <w:numId w:val="203"/>
        </w:numPr>
        <w:spacing w:after="60"/>
      </w:pPr>
      <w:r>
        <w:rPr>
          <w:rFonts w:ascii="Aptos" w:cs="Aptos" w:eastAsia="Aptos" w:hAnsi="Aptos"/>
          <w:sz w:val="24"/>
          <w:szCs w:val="24"/>
          <w:b w:val="true"/>
          <w:bCs w:val="true"/>
          <w:i w:val="false"/>
          <w:iCs w:val="false"/>
        </w:rPr>
        <w:t xml:space="preserve">Chain of custody. </w:t>
      </w:r>
      <w:r>
        <w:rPr>
          <w:rFonts w:ascii="Aptos" w:cs="Aptos" w:eastAsia="Aptos" w:hAnsi="Aptos"/>
          <w:sz w:val="24"/>
          <w:szCs w:val="24"/>
          <w:b w:val="false"/>
          <w:bCs w:val="false"/>
          <w:i w:val="false"/>
          <w:iCs w:val="false"/>
        </w:rPr>
        <w:t xml:space="preserve">Who handled what, when, and where it was stored between handoffs. A gap in the chain is a gap in the case, and it cannot be repaired after the fact.</w:t>
      </w:r>
    </w:p>
    <w:p>
      <w:pPr>
        <w:pStyle w:val="ListParagraph"/>
        <w:numPr>
          <w:ilvl w:val="0"/>
          <w:numId w:val="203"/>
        </w:numPr>
        <w:spacing w:after="60"/>
      </w:pPr>
      <w:r>
        <w:rPr>
          <w:rFonts w:ascii="Aptos" w:cs="Aptos" w:eastAsia="Aptos" w:hAnsi="Aptos"/>
          <w:sz w:val="24"/>
          <w:szCs w:val="24"/>
          <w:b w:val="true"/>
          <w:bCs w:val="true"/>
          <w:i w:val="false"/>
          <w:iCs w:val="false"/>
        </w:rPr>
        <w:t xml:space="preserve">Notification. </w:t>
      </w:r>
      <w:r>
        <w:rPr>
          <w:rFonts w:ascii="Aptos" w:cs="Aptos" w:eastAsia="Aptos" w:hAnsi="Aptos"/>
          <w:sz w:val="24"/>
          <w:szCs w:val="24"/>
          <w:b w:val="false"/>
          <w:bCs w:val="false"/>
          <w:i w:val="false"/>
          <w:iCs w:val="false"/>
        </w:rPr>
        <w:t xml:space="preserve">Internal escalation first, then the external obligations: the two-business-day cyber incident report to the state for political subdivisions, breach notification triggers when residents are affected, and who approves anything that leaves the building.</w:t>
      </w:r>
    </w:p>
    <w:p>
      <w:pPr>
        <w:pStyle w:val="ListParagraph"/>
        <w:numPr>
          <w:ilvl w:val="0"/>
          <w:numId w:val="203"/>
        </w:numPr>
        <w:spacing w:after="60"/>
      </w:pPr>
      <w:r>
        <w:rPr>
          <w:rFonts w:ascii="Aptos" w:cs="Aptos" w:eastAsia="Aptos" w:hAnsi="Aptos"/>
          <w:sz w:val="24"/>
          <w:szCs w:val="24"/>
          <w:b w:val="true"/>
          <w:bCs w:val="true"/>
          <w:i w:val="false"/>
          <w:iCs w:val="false"/>
        </w:rPr>
        <w:t xml:space="preserve">Keeping the center up. </w:t>
      </w:r>
      <w:r>
        <w:rPr>
          <w:rFonts w:ascii="Aptos" w:cs="Aptos" w:eastAsia="Aptos" w:hAnsi="Aptos"/>
          <w:sz w:val="24"/>
          <w:szCs w:val="24"/>
          <w:b w:val="false"/>
          <w:bCs w:val="false"/>
          <w:i w:val="false"/>
          <w:iCs w:val="false"/>
        </w:rPr>
        <w:t xml:space="preserve">Incident response never takes the last working call-handling path offline. The continuity procedure runs alongside the response, not after it.</w:t>
      </w:r>
    </w:p>
    <w:p>
      <w:pPr>
        <w:pStyle w:val="ListParagraph"/>
        <w:numPr>
          <w:ilvl w:val="0"/>
          <w:numId w:val="203"/>
        </w:numPr>
        <w:spacing w:after="60"/>
      </w:pPr>
      <w:r>
        <w:rPr>
          <w:rFonts w:ascii="Aptos" w:cs="Aptos" w:eastAsia="Aptos" w:hAnsi="Aptos"/>
          <w:sz w:val="24"/>
          <w:szCs w:val="24"/>
          <w:b w:val="true"/>
          <w:bCs w:val="true"/>
          <w:i w:val="false"/>
          <w:iCs w:val="false"/>
        </w:rPr>
        <w:t xml:space="preserve">Afterward. </w:t>
      </w:r>
      <w:r>
        <w:rPr>
          <w:rFonts w:ascii="Aptos" w:cs="Aptos" w:eastAsia="Aptos" w:hAnsi="Aptos"/>
          <w:sz w:val="24"/>
          <w:szCs w:val="24"/>
          <w:b w:val="false"/>
          <w:bCs w:val="false"/>
          <w:i w:val="false"/>
          <w:iCs w:val="false"/>
        </w:rPr>
        <w:t xml:space="preserve">The after-action review is where the fix comes from. Findings move into the Risk / Finding Register with an owner and a date, or they do not get done.</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Participation in a tabletop exercise with a documented decision log, or a written scenario walkthrough naming the first five actions in order. Passing requires evidence preserved before remediation and the correct notification clock identified.</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At assignment, then annually, and after any incident or exercise that surfaces a gap.</w:t>
      </w:r>
    </w:p>
    <w:p>
      <w:pPr>
        <w:spacing w:after="120" w:before="0"/>
      </w:pPr>
      <w:r>
        <w:rPr>
          <w:rFonts w:ascii="Aptos" w:cs="Aptos" w:eastAsia="Aptos" w:hAnsi="Aptos"/>
          <w:sz w:val="24"/>
          <w:szCs w:val="24"/>
          <w:b w:val="true"/>
          <w:bCs w:val="true"/>
          <w:i w:val="false"/>
          <w:iCs w:val="false"/>
        </w:rPr>
        <w:t xml:space="preserve">Credentials and continuing education. </w:t>
      </w:r>
      <w:r>
        <w:rPr>
          <w:rFonts w:ascii="Aptos" w:cs="Aptos" w:eastAsia="Aptos" w:hAnsi="Aptos"/>
          <w:sz w:val="24"/>
          <w:szCs w:val="24"/>
          <w:b w:val="false"/>
          <w:bCs w:val="false"/>
          <w:i w:val="false"/>
          <w:iCs w:val="false"/>
        </w:rPr>
        <w:t xml:space="preserve">Incident handling and digital forensics credentials fit this track. Where the Agency retains an incident response provider, joint exercise participation is the practical equivalent and is recorded the same way. [Name the credentials or retained provider the Agency uses.]</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Incident Response Plan (IRP) · Incident Classification &amp; Severity Matrix · Incident Notification &amp; Escalation Contact List · Evidence Collection &amp; Chain-of-Custody Procedures · Evidence Preservation Checklist · System Isolation Procedure · Backup Call-Handling / Dispatch Continuity Procedure.</w:t>
      </w:r>
    </w:p>
    <w:p>
      <w:pPr>
        <w:pStyle w:val="Heading3"/>
      </w:pPr>
      <w:r>
        <w:t xml:space="preserve">Track E. Sensitive Data and Media Handling</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creates, views, transmits, transports, or destroys Restricted or Confidential information, or the media that holds it. At a PSAP this reaches nearly every dispatcher and records clerk, plus anyone who carries a drive, a backup tape, or a laptop out of the building.</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classify a record correctly and apply the handling that follows from the classification</w:t>
      </w:r>
    </w:p>
    <w:p>
      <w:pPr>
        <w:pStyle w:val="ListParagraph"/>
        <w:numPr>
          <w:ilvl w:val="0"/>
          <w:numId w:val="2"/>
        </w:numPr>
        <w:spacing w:after="60"/>
      </w:pPr>
      <w:r>
        <w:rPr>
          <w:rFonts w:ascii="Aptos" w:cs="Aptos" w:eastAsia="Aptos" w:hAnsi="Aptos"/>
          <w:sz w:val="24"/>
          <w:szCs w:val="24"/>
          <w:b w:val="false"/>
          <w:bCs w:val="false"/>
          <w:i w:val="false"/>
          <w:iCs w:val="false"/>
        </w:rPr>
        <w:t xml:space="preserve">move media in and out of the building without losing control of it</w:t>
      </w:r>
    </w:p>
    <w:p>
      <w:pPr>
        <w:pStyle w:val="ListParagraph"/>
        <w:numPr>
          <w:ilvl w:val="0"/>
          <w:numId w:val="2"/>
        </w:numPr>
        <w:spacing w:after="60"/>
      </w:pPr>
      <w:r>
        <w:rPr>
          <w:rFonts w:ascii="Aptos" w:cs="Aptos" w:eastAsia="Aptos" w:hAnsi="Aptos"/>
          <w:sz w:val="24"/>
          <w:szCs w:val="24"/>
          <w:b w:val="false"/>
          <w:bCs w:val="false"/>
          <w:i w:val="false"/>
          <w:iCs w:val="false"/>
        </w:rPr>
        <w:t xml:space="preserve">destroy media so the data cannot be recovered, and record that it happened</w:t>
      </w:r>
    </w:p>
    <w:p>
      <w:pPr>
        <w:pStyle w:val="ListParagraph"/>
        <w:numPr>
          <w:ilvl w:val="0"/>
          <w:numId w:val="2"/>
        </w:numPr>
        <w:spacing w:after="60"/>
      </w:pPr>
      <w:r>
        <w:rPr>
          <w:rFonts w:ascii="Aptos" w:cs="Aptos" w:eastAsia="Aptos" w:hAnsi="Aptos"/>
          <w:sz w:val="24"/>
          <w:szCs w:val="24"/>
          <w:b w:val="false"/>
          <w:bCs w:val="false"/>
          <w:i w:val="false"/>
          <w:iCs w:val="false"/>
        </w:rPr>
        <w:t xml:space="preserve">recognize a disclosure request that must be approved before anything is released</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4"/>
        </w:numPr>
        <w:spacing w:after="60"/>
      </w:pPr>
      <w:r>
        <w:rPr>
          <w:rFonts w:ascii="Aptos" w:cs="Aptos" w:eastAsia="Aptos" w:hAnsi="Aptos"/>
          <w:sz w:val="24"/>
          <w:szCs w:val="24"/>
          <w:b w:val="true"/>
          <w:bCs w:val="true"/>
          <w:i w:val="false"/>
          <w:iCs w:val="false"/>
        </w:rPr>
        <w:t xml:space="preserve">Classification in practice. </w:t>
      </w:r>
      <w:r>
        <w:rPr>
          <w:rFonts w:ascii="Aptos" w:cs="Aptos" w:eastAsia="Aptos" w:hAnsi="Aptos"/>
          <w:sz w:val="24"/>
          <w:szCs w:val="24"/>
          <w:b w:val="false"/>
          <w:bCs w:val="false"/>
          <w:i w:val="false"/>
          <w:iCs w:val="false"/>
        </w:rPr>
        <w:t xml:space="preserve">The four things that make a PSAP record sensitive: caller and subject PII, criminal justice information, health information, and operational detail that would help someone attack the center. When two levels could apply, the higher one governs. Labeling is how the next person knows.</w:t>
      </w:r>
    </w:p>
    <w:p>
      <w:pPr>
        <w:pStyle w:val="ListParagraph"/>
        <w:numPr>
          <w:ilvl w:val="0"/>
          <w:numId w:val="204"/>
        </w:numPr>
        <w:spacing w:after="60"/>
      </w:pPr>
      <w:r>
        <w:rPr>
          <w:rFonts w:ascii="Aptos" w:cs="Aptos" w:eastAsia="Aptos" w:hAnsi="Aptos"/>
          <w:sz w:val="24"/>
          <w:szCs w:val="24"/>
          <w:b w:val="true"/>
          <w:bCs w:val="true"/>
          <w:i w:val="false"/>
          <w:iCs w:val="false"/>
        </w:rPr>
        <w:t xml:space="preserve">Handling by level. </w:t>
      </w:r>
      <w:r>
        <w:rPr>
          <w:rFonts w:ascii="Aptos" w:cs="Aptos" w:eastAsia="Aptos" w:hAnsi="Aptos"/>
          <w:sz w:val="24"/>
          <w:szCs w:val="24"/>
          <w:b w:val="false"/>
          <w:bCs w:val="false"/>
          <w:i w:val="false"/>
          <w:iCs w:val="false"/>
        </w:rPr>
        <w:t xml:space="preserve">What each classification permits for storage, transmission, printing, and screen display. The rules follow the data, not the device it happens to sit on.</w:t>
      </w:r>
    </w:p>
    <w:p>
      <w:pPr>
        <w:pStyle w:val="ListParagraph"/>
        <w:numPr>
          <w:ilvl w:val="0"/>
          <w:numId w:val="204"/>
        </w:numPr>
        <w:spacing w:after="60"/>
      </w:pPr>
      <w:r>
        <w:rPr>
          <w:rFonts w:ascii="Aptos" w:cs="Aptos" w:eastAsia="Aptos" w:hAnsi="Aptos"/>
          <w:sz w:val="24"/>
          <w:szCs w:val="24"/>
          <w:b w:val="true"/>
          <w:bCs w:val="true"/>
          <w:i w:val="false"/>
          <w:iCs w:val="false"/>
        </w:rPr>
        <w:t xml:space="preserve">Moving media. </w:t>
      </w:r>
      <w:r>
        <w:rPr>
          <w:rFonts w:ascii="Aptos" w:cs="Aptos" w:eastAsia="Aptos" w:hAnsi="Aptos"/>
          <w:sz w:val="24"/>
          <w:szCs w:val="24"/>
          <w:b w:val="false"/>
          <w:bCs w:val="false"/>
          <w:i w:val="false"/>
          <w:iCs w:val="false"/>
        </w:rPr>
        <w:t xml:space="preserve">Sensitive media travels in sealed packaging with recorded delivery. The most sensitive material is hand-carried by its custodian, and any exception is approved by a senior manager before the media moves, not explained afterward.</w:t>
      </w:r>
    </w:p>
    <w:p>
      <w:pPr>
        <w:pStyle w:val="ListParagraph"/>
        <w:numPr>
          <w:ilvl w:val="0"/>
          <w:numId w:val="204"/>
        </w:numPr>
        <w:spacing w:after="60"/>
      </w:pPr>
      <w:r>
        <w:rPr>
          <w:rFonts w:ascii="Aptos" w:cs="Aptos" w:eastAsia="Aptos" w:hAnsi="Aptos"/>
          <w:sz w:val="24"/>
          <w:szCs w:val="24"/>
          <w:b w:val="true"/>
          <w:bCs w:val="true"/>
          <w:i w:val="false"/>
          <w:iCs w:val="false"/>
        </w:rPr>
        <w:t xml:space="preserve">Printed material. </w:t>
      </w:r>
      <w:r>
        <w:rPr>
          <w:rFonts w:ascii="Aptos" w:cs="Aptos" w:eastAsia="Aptos" w:hAnsi="Aptos"/>
          <w:sz w:val="24"/>
          <w:szCs w:val="24"/>
          <w:b w:val="false"/>
          <w:bCs w:val="false"/>
          <w:i w:val="false"/>
          <w:iCs w:val="false"/>
        </w:rPr>
        <w:t xml:space="preserve">Paper is the most commonly lost record type at a PSAP. Collect from the printer immediately, store it to the same level as its digital original, and destroy it the same way.</w:t>
      </w:r>
    </w:p>
    <w:p>
      <w:pPr>
        <w:pStyle w:val="ListParagraph"/>
        <w:numPr>
          <w:ilvl w:val="0"/>
          <w:numId w:val="204"/>
        </w:numPr>
        <w:spacing w:after="60"/>
      </w:pPr>
      <w:r>
        <w:rPr>
          <w:rFonts w:ascii="Aptos" w:cs="Aptos" w:eastAsia="Aptos" w:hAnsi="Aptos"/>
          <w:sz w:val="24"/>
          <w:szCs w:val="24"/>
          <w:b w:val="true"/>
          <w:bCs w:val="true"/>
          <w:i w:val="false"/>
          <w:iCs w:val="false"/>
        </w:rPr>
        <w:t xml:space="preserve">Disposal and sanitization. </w:t>
      </w:r>
      <w:r>
        <w:rPr>
          <w:rFonts w:ascii="Aptos" w:cs="Aptos" w:eastAsia="Aptos" w:hAnsi="Aptos"/>
          <w:sz w:val="24"/>
          <w:szCs w:val="24"/>
          <w:b w:val="false"/>
          <w:bCs w:val="false"/>
          <w:i w:val="false"/>
          <w:iCs w:val="false"/>
        </w:rPr>
        <w:t xml:space="preserve">Deleting is not destroying. The sanitization method depends on the media type and what it held; paper is destroyed so no part can be reconstructed; every disposal is recorded so the Agency can prove the data is gone.</w:t>
      </w:r>
    </w:p>
    <w:p>
      <w:pPr>
        <w:pStyle w:val="ListParagraph"/>
        <w:numPr>
          <w:ilvl w:val="0"/>
          <w:numId w:val="204"/>
        </w:numPr>
        <w:spacing w:after="60"/>
      </w:pPr>
      <w:r>
        <w:rPr>
          <w:rFonts w:ascii="Aptos" w:cs="Aptos" w:eastAsia="Aptos" w:hAnsi="Aptos"/>
          <w:sz w:val="24"/>
          <w:szCs w:val="24"/>
          <w:b w:val="true"/>
          <w:bCs w:val="true"/>
          <w:i w:val="false"/>
          <w:iCs w:val="false"/>
        </w:rPr>
        <w:t xml:space="preserve">Before you release anything. </w:t>
      </w:r>
      <w:r>
        <w:rPr>
          <w:rFonts w:ascii="Aptos" w:cs="Aptos" w:eastAsia="Aptos" w:hAnsi="Aptos"/>
          <w:sz w:val="24"/>
          <w:szCs w:val="24"/>
          <w:b w:val="false"/>
          <w:bCs w:val="false"/>
          <w:i w:val="false"/>
          <w:iCs w:val="false"/>
        </w:rPr>
        <w:t xml:space="preserve">The difference between an internal request, a public records request, and a law enforcement request, and who approves each. Nobody releases records on personal authority, however reasonable the request sounds.</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The learner classifies a set of sample records, states the handling and disposal path for each, and identifies which of three sample disclosure requests needs approval. Passing requires no record under-classified and every disposal path correct.</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Before the person handles sensitive media unsupervised, then annually, and on any change to the classification scheme or the Document Handling Standard. The media-handling acknowledgment is signed at the same points.</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Data Classification Policy · Document Handling Standard · Data Labeling Procedures · Secure Disposal Procedures · Data Disposal / Destruction Records · Data Sharing &amp; Disclosure Approval Procedure · CJIS Data Handling Addendum.</w:t>
      </w:r>
    </w:p>
    <w:p>
      <w:pPr>
        <w:pStyle w:val="Heading3"/>
      </w:pPr>
      <w:r>
        <w:t xml:space="preserve">Track F. Physical and Visual Safeguards</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works in, or escorts anyone through, a controlled area. This is close to everyone on site, including part-time staff, cleaning crews under escort, and technicians who visit twice a year.</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keep an unauthorized person out of a controlled area without making it personal</w:t>
      </w:r>
    </w:p>
    <w:p>
      <w:pPr>
        <w:pStyle w:val="ListParagraph"/>
        <w:numPr>
          <w:ilvl w:val="0"/>
          <w:numId w:val="2"/>
        </w:numPr>
        <w:spacing w:after="60"/>
      </w:pPr>
      <w:r>
        <w:rPr>
          <w:rFonts w:ascii="Aptos" w:cs="Aptos" w:eastAsia="Aptos" w:hAnsi="Aptos"/>
          <w:sz w:val="24"/>
          <w:szCs w:val="24"/>
          <w:b w:val="false"/>
          <w:bCs w:val="false"/>
          <w:i w:val="false"/>
          <w:iCs w:val="false"/>
        </w:rPr>
        <w:t xml:space="preserve">escort a visitor from arrival to departure</w:t>
      </w:r>
    </w:p>
    <w:p>
      <w:pPr>
        <w:pStyle w:val="ListParagraph"/>
        <w:numPr>
          <w:ilvl w:val="0"/>
          <w:numId w:val="2"/>
        </w:numPr>
        <w:spacing w:after="60"/>
      </w:pPr>
      <w:r>
        <w:rPr>
          <w:rFonts w:ascii="Aptos" w:cs="Aptos" w:eastAsia="Aptos" w:hAnsi="Aptos"/>
          <w:sz w:val="24"/>
          <w:szCs w:val="24"/>
          <w:b w:val="false"/>
          <w:bCs w:val="false"/>
          <w:i w:val="false"/>
          <w:iCs w:val="false"/>
        </w:rPr>
        <w:t xml:space="preserve">stop a screen from disclosing what the door already protects</w:t>
      </w:r>
    </w:p>
    <w:p>
      <w:pPr>
        <w:pStyle w:val="ListParagraph"/>
        <w:numPr>
          <w:ilvl w:val="0"/>
          <w:numId w:val="2"/>
        </w:numPr>
        <w:spacing w:after="60"/>
      </w:pPr>
      <w:r>
        <w:rPr>
          <w:rFonts w:ascii="Aptos" w:cs="Aptos" w:eastAsia="Aptos" w:hAnsi="Aptos"/>
          <w:sz w:val="24"/>
          <w:szCs w:val="24"/>
          <w:b w:val="false"/>
          <w:bCs w:val="false"/>
          <w:i w:val="false"/>
          <w:iCs w:val="false"/>
        </w:rPr>
        <w:t xml:space="preserve">report a physical security failure the same way they would report a suspicious email</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5"/>
        </w:numPr>
        <w:spacing w:after="60"/>
      </w:pPr>
      <w:r>
        <w:rPr>
          <w:rFonts w:ascii="Aptos" w:cs="Aptos" w:eastAsia="Aptos" w:hAnsi="Aptos"/>
          <w:sz w:val="24"/>
          <w:szCs w:val="24"/>
          <w:b w:val="true"/>
          <w:bCs w:val="true"/>
          <w:i w:val="false"/>
          <w:iCs w:val="false"/>
        </w:rPr>
        <w:t xml:space="preserve">The door. </w:t>
      </w:r>
      <w:r>
        <w:rPr>
          <w:rFonts w:ascii="Aptos" w:cs="Aptos" w:eastAsia="Aptos" w:hAnsi="Aptos"/>
          <w:sz w:val="24"/>
          <w:szCs w:val="24"/>
          <w:b w:val="false"/>
          <w:bCs w:val="false"/>
          <w:i w:val="false"/>
          <w:iCs w:val="false"/>
        </w:rPr>
        <w:t xml:space="preserve">Doors close behind you. Tailgating is the most common physical breach and the easiest to stop. How to challenge someone politely, and who to call when they will not comply.</w:t>
      </w:r>
    </w:p>
    <w:p>
      <w:pPr>
        <w:pStyle w:val="ListParagraph"/>
        <w:numPr>
          <w:ilvl w:val="0"/>
          <w:numId w:val="205"/>
        </w:numPr>
        <w:spacing w:after="60"/>
      </w:pPr>
      <w:r>
        <w:rPr>
          <w:rFonts w:ascii="Aptos" w:cs="Aptos" w:eastAsia="Aptos" w:hAnsi="Aptos"/>
          <w:sz w:val="24"/>
          <w:szCs w:val="24"/>
          <w:b w:val="true"/>
          <w:bCs w:val="true"/>
          <w:i w:val="false"/>
          <w:iCs w:val="false"/>
        </w:rPr>
        <w:t xml:space="preserve">Badges. </w:t>
      </w:r>
      <w:r>
        <w:rPr>
          <w:rFonts w:ascii="Aptos" w:cs="Aptos" w:eastAsia="Aptos" w:hAnsi="Aptos"/>
          <w:sz w:val="24"/>
          <w:szCs w:val="24"/>
          <w:b w:val="false"/>
          <w:bCs w:val="false"/>
          <w:i w:val="false"/>
          <w:iCs w:val="false"/>
        </w:rPr>
        <w:t xml:space="preserve">Badges are worn where they can be seen, are never loaned, and carry a photograph. A lost badge is reported immediately because it is a live credential, and a temporary badge follows the same rules as the one it replaces.</w:t>
      </w:r>
    </w:p>
    <w:p>
      <w:pPr>
        <w:pStyle w:val="ListParagraph"/>
        <w:numPr>
          <w:ilvl w:val="0"/>
          <w:numId w:val="205"/>
        </w:numPr>
        <w:spacing w:after="60"/>
      </w:pPr>
      <w:r>
        <w:rPr>
          <w:rFonts w:ascii="Aptos" w:cs="Aptos" w:eastAsia="Aptos" w:hAnsi="Aptos"/>
          <w:sz w:val="24"/>
          <w:szCs w:val="24"/>
          <w:b w:val="true"/>
          <w:bCs w:val="true"/>
          <w:i w:val="false"/>
          <w:iCs w:val="false"/>
        </w:rPr>
        <w:t xml:space="preserve">Visitors. </w:t>
      </w:r>
      <w:r>
        <w:rPr>
          <w:rFonts w:ascii="Aptos" w:cs="Aptos" w:eastAsia="Aptos" w:hAnsi="Aptos"/>
          <w:sz w:val="24"/>
          <w:szCs w:val="24"/>
          <w:b w:val="false"/>
          <w:bCs w:val="false"/>
          <w:i w:val="false"/>
          <w:iCs w:val="false"/>
        </w:rPr>
        <w:t xml:space="preserve">Authenticate before admitting, escort at all times, sign in and out, and stay with the visitor through departure. An escorted visitor is the escort's responsibility, not the front desk's.</w:t>
      </w:r>
    </w:p>
    <w:p>
      <w:pPr>
        <w:pStyle w:val="ListParagraph"/>
        <w:numPr>
          <w:ilvl w:val="0"/>
          <w:numId w:val="205"/>
        </w:numPr>
        <w:spacing w:after="60"/>
      </w:pPr>
      <w:r>
        <w:rPr>
          <w:rFonts w:ascii="Aptos" w:cs="Aptos" w:eastAsia="Aptos" w:hAnsi="Aptos"/>
          <w:sz w:val="24"/>
          <w:szCs w:val="24"/>
          <w:b w:val="true"/>
          <w:bCs w:val="true"/>
          <w:i w:val="false"/>
          <w:iCs w:val="false"/>
        </w:rPr>
        <w:t xml:space="preserve">Deliveries and removals. </w:t>
      </w:r>
      <w:r>
        <w:rPr>
          <w:rFonts w:ascii="Aptos" w:cs="Aptos" w:eastAsia="Aptos" w:hAnsi="Aptos"/>
          <w:sz w:val="24"/>
          <w:szCs w:val="24"/>
          <w:b w:val="false"/>
          <w:bCs w:val="false"/>
          <w:i w:val="false"/>
          <w:iCs w:val="false"/>
        </w:rPr>
        <w:t xml:space="preserve">Equipment entering or leaving the controlled area is authorized and recorded. A technician carrying a device out of the building is a removal, whatever the reason.</w:t>
      </w:r>
    </w:p>
    <w:p>
      <w:pPr>
        <w:pStyle w:val="ListParagraph"/>
        <w:numPr>
          <w:ilvl w:val="0"/>
          <w:numId w:val="205"/>
        </w:numPr>
        <w:spacing w:after="60"/>
      </w:pPr>
      <w:r>
        <w:rPr>
          <w:rFonts w:ascii="Aptos" w:cs="Aptos" w:eastAsia="Aptos" w:hAnsi="Aptos"/>
          <w:sz w:val="24"/>
          <w:szCs w:val="24"/>
          <w:b w:val="true"/>
          <w:bCs w:val="true"/>
          <w:i w:val="false"/>
          <w:iCs w:val="false"/>
        </w:rPr>
        <w:t xml:space="preserve">Screens and sightlines. </w:t>
      </w:r>
      <w:r>
        <w:rPr>
          <w:rFonts w:ascii="Aptos" w:cs="Aptos" w:eastAsia="Aptos" w:hAnsi="Aptos"/>
          <w:sz w:val="24"/>
          <w:szCs w:val="24"/>
          <w:b w:val="false"/>
          <w:bCs w:val="false"/>
          <w:i w:val="false"/>
          <w:iCs w:val="false"/>
        </w:rPr>
        <w:t xml:space="preserve">Position monitors so a walkthrough cannot read them, and use a privacy filter where position cannot be fixed. Sessions lock after no more than fifteen minutes of inactivity, reauthentication is required to get back in, and the lock is not disabled for convenience.</w:t>
      </w:r>
    </w:p>
    <w:p>
      <w:pPr>
        <w:pStyle w:val="ListParagraph"/>
        <w:numPr>
          <w:ilvl w:val="0"/>
          <w:numId w:val="205"/>
        </w:numPr>
        <w:spacing w:after="60"/>
      </w:pPr>
      <w:r>
        <w:rPr>
          <w:rFonts w:ascii="Aptos" w:cs="Aptos" w:eastAsia="Aptos" w:hAnsi="Aptos"/>
          <w:sz w:val="24"/>
          <w:szCs w:val="24"/>
          <w:b w:val="true"/>
          <w:bCs w:val="true"/>
          <w:i w:val="false"/>
          <w:iCs w:val="false"/>
        </w:rPr>
        <w:t xml:space="preserve">Paper and desks. </w:t>
      </w:r>
      <w:r>
        <w:rPr>
          <w:rFonts w:ascii="Aptos" w:cs="Aptos" w:eastAsia="Aptos" w:hAnsi="Aptos"/>
          <w:sz w:val="24"/>
          <w:szCs w:val="24"/>
          <w:b w:val="false"/>
          <w:bCs w:val="false"/>
          <w:i w:val="false"/>
          <w:iCs w:val="false"/>
        </w:rPr>
        <w:t xml:space="preserve">What may sit on a desk unattended and what may not, and what gets cleared at end of shift.</w:t>
      </w:r>
    </w:p>
    <w:p>
      <w:pPr>
        <w:pStyle w:val="ListParagraph"/>
        <w:numPr>
          <w:ilvl w:val="0"/>
          <w:numId w:val="205"/>
        </w:numPr>
        <w:spacing w:after="60"/>
      </w:pPr>
      <w:r>
        <w:rPr>
          <w:rFonts w:ascii="Aptos" w:cs="Aptos" w:eastAsia="Aptos" w:hAnsi="Aptos"/>
          <w:sz w:val="24"/>
          <w:szCs w:val="24"/>
          <w:b w:val="true"/>
          <w:bCs w:val="true"/>
          <w:i w:val="false"/>
          <w:iCs w:val="false"/>
        </w:rPr>
        <w:t xml:space="preserve">Reporting. </w:t>
      </w:r>
      <w:r>
        <w:rPr>
          <w:rFonts w:ascii="Aptos" w:cs="Aptos" w:eastAsia="Aptos" w:hAnsi="Aptos"/>
          <w:sz w:val="24"/>
          <w:szCs w:val="24"/>
          <w:b w:val="false"/>
          <w:bCs w:val="false"/>
          <w:i w:val="false"/>
          <w:iCs w:val="false"/>
        </w:rPr>
        <w:t xml:space="preserve">Propped doors, failed badge readers, unescorted strangers, and cameras that are not recording are all reportable, and they go to the same place as any other security concern.</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An observed walkthrough, or a short scenario set paired with a signed acknowledgment. Where the Agency runs spot checks or a tailgate drill, participation counts as the check. Passing requires the learner to challenge the unauthorized entry scenario and to identify the screen exposure scenario.</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At onboarding before unescorted access, then annually, with a shorter reminder on the Agency's reminder cadence. [State the reminder cadence, for example quarterly.]</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Physical Access Control Policy · Physical Security Hardening Standard · Controlled Area / Zone Map · Visitor Log · Visitor Access Agreement Form · Acceptable Use Policy (AUP).</w:t>
      </w:r>
    </w:p>
    <w:p>
      <w:pPr>
        <w:pStyle w:val="Heading3"/>
      </w:pPr>
      <w:r>
        <w:t xml:space="preserve">Track G. Program Governance and Oversight</w:t>
      </w:r>
    </w:p>
    <w:p>
      <w:pPr>
        <w:spacing w:after="120" w:before="0"/>
      </w:pPr>
      <w:r>
        <w:rPr>
          <w:rFonts w:ascii="Aptos" w:cs="Aptos" w:eastAsia="Aptos" w:hAnsi="Aptos"/>
          <w:sz w:val="24"/>
          <w:szCs w:val="24"/>
          <w:b w:val="true"/>
          <w:bCs w:val="true"/>
          <w:i w:val="false"/>
          <w:iCs w:val="false"/>
        </w:rPr>
        <w:t xml:space="preserve">Who this covers. </w:t>
      </w:r>
      <w:r>
        <w:rPr>
          <w:rFonts w:ascii="Aptos" w:cs="Aptos" w:eastAsia="Aptos" w:hAnsi="Aptos"/>
          <w:sz w:val="24"/>
          <w:szCs w:val="24"/>
          <w:b w:val="false"/>
          <w:bCs w:val="false"/>
          <w:i w:val="false"/>
          <w:iCs w:val="false"/>
        </w:rPr>
        <w:t xml:space="preserve">Assign this track to anyone who approves policy, accepts risk on the Agency's behalf, or reports program status to a board, county authority, or state authority. At a small agency this is the director, holding this track alongside several others.</w:t>
      </w:r>
    </w:p>
    <w:p>
      <w:pPr>
        <w:spacing w:after="120" w:before="0"/>
      </w:pPr>
      <w:r>
        <w:rPr>
          <w:rFonts w:ascii="Aptos" w:cs="Aptos" w:eastAsia="Aptos" w:hAnsi="Aptos"/>
          <w:sz w:val="24"/>
          <w:szCs w:val="24"/>
          <w:b w:val="true"/>
          <w:bCs w:val="true"/>
          <w:i w:val="false"/>
          <w:iCs w:val="false"/>
        </w:rPr>
        <w:t xml:space="preserve">After this track, staff can:</w:t>
      </w:r>
    </w:p>
    <w:p>
      <w:pPr>
        <w:pStyle w:val="ListParagraph"/>
        <w:numPr>
          <w:ilvl w:val="0"/>
          <w:numId w:val="2"/>
        </w:numPr>
        <w:spacing w:after="60"/>
      </w:pPr>
      <w:r>
        <w:rPr>
          <w:rFonts w:ascii="Aptos" w:cs="Aptos" w:eastAsia="Aptos" w:hAnsi="Aptos"/>
          <w:sz w:val="24"/>
          <w:szCs w:val="24"/>
          <w:b w:val="false"/>
          <w:bCs w:val="false"/>
          <w:i w:val="false"/>
          <w:iCs w:val="false"/>
        </w:rPr>
        <w:t xml:space="preserve">read a risk register entry and decide whether to accept, mitigate, or transfer it</w:t>
      </w:r>
    </w:p>
    <w:p>
      <w:pPr>
        <w:pStyle w:val="ListParagraph"/>
        <w:numPr>
          <w:ilvl w:val="0"/>
          <w:numId w:val="2"/>
        </w:numPr>
        <w:spacing w:after="60"/>
      </w:pPr>
      <w:r>
        <w:rPr>
          <w:rFonts w:ascii="Aptos" w:cs="Aptos" w:eastAsia="Aptos" w:hAnsi="Aptos"/>
          <w:sz w:val="24"/>
          <w:szCs w:val="24"/>
          <w:b w:val="false"/>
          <w:bCs w:val="false"/>
          <w:i w:val="false"/>
          <w:iCs w:val="false"/>
        </w:rPr>
        <w:t xml:space="preserve">state what the Agency remains accountable for when a security function is contracted out</w:t>
      </w:r>
    </w:p>
    <w:p>
      <w:pPr>
        <w:pStyle w:val="ListParagraph"/>
        <w:numPr>
          <w:ilvl w:val="0"/>
          <w:numId w:val="2"/>
        </w:numPr>
        <w:spacing w:after="60"/>
      </w:pPr>
      <w:r>
        <w:rPr>
          <w:rFonts w:ascii="Aptos" w:cs="Aptos" w:eastAsia="Aptos" w:hAnsi="Aptos"/>
          <w:sz w:val="24"/>
          <w:szCs w:val="24"/>
          <w:b w:val="false"/>
          <w:bCs w:val="false"/>
          <w:i w:val="false"/>
          <w:iCs w:val="false"/>
        </w:rPr>
        <w:t xml:space="preserve">meet the Agency's designation and reporting deadlines</w:t>
      </w:r>
    </w:p>
    <w:p>
      <w:pPr>
        <w:pStyle w:val="ListParagraph"/>
        <w:numPr>
          <w:ilvl w:val="0"/>
          <w:numId w:val="2"/>
        </w:numPr>
        <w:spacing w:after="60"/>
      </w:pPr>
      <w:r>
        <w:rPr>
          <w:rFonts w:ascii="Aptos" w:cs="Aptos" w:eastAsia="Aptos" w:hAnsi="Aptos"/>
          <w:sz w:val="24"/>
          <w:szCs w:val="24"/>
          <w:b w:val="false"/>
          <w:bCs w:val="false"/>
          <w:i w:val="false"/>
          <w:iCs w:val="false"/>
        </w:rPr>
        <w:t xml:space="preserve">fund security work against a stated priority rather than the loudest request</w:t>
      </w:r>
    </w:p>
    <w:p>
      <w:pPr>
        <w:spacing w:after="120" w:before="0"/>
      </w:pPr>
      <w:r>
        <w:rPr>
          <w:rFonts w:ascii="Aptos" w:cs="Aptos" w:eastAsia="Aptos" w:hAnsi="Aptos"/>
          <w:sz w:val="24"/>
          <w:szCs w:val="24"/>
          <w:b w:val="true"/>
          <w:bCs w:val="true"/>
          <w:i w:val="false"/>
          <w:iCs w:val="false"/>
        </w:rPr>
        <w:t xml:space="preserve">Modules.</w:t>
      </w:r>
    </w:p>
    <w:p>
      <w:pPr>
        <w:pStyle w:val="ListParagraph"/>
        <w:numPr>
          <w:ilvl w:val="0"/>
          <w:numId w:val="206"/>
        </w:numPr>
        <w:spacing w:after="60"/>
      </w:pPr>
      <w:r>
        <w:rPr>
          <w:rFonts w:ascii="Aptos" w:cs="Aptos" w:eastAsia="Aptos" w:hAnsi="Aptos"/>
          <w:sz w:val="24"/>
          <w:szCs w:val="24"/>
          <w:b w:val="true"/>
          <w:bCs w:val="true"/>
          <w:i w:val="false"/>
          <w:iCs w:val="false"/>
        </w:rPr>
        <w:t xml:space="preserve">What accountability means here. </w:t>
      </w:r>
      <w:r>
        <w:rPr>
          <w:rFonts w:ascii="Aptos" w:cs="Aptos" w:eastAsia="Aptos" w:hAnsi="Aptos"/>
          <w:sz w:val="24"/>
          <w:szCs w:val="24"/>
          <w:b w:val="false"/>
          <w:bCs w:val="false"/>
          <w:i w:val="false"/>
          <w:iCs w:val="false"/>
        </w:rPr>
        <w:t xml:space="preserve">Contracting a function moves the work, not the accountability. The agreement is the control, and an agreement that does not name the duty does not transfer it.</w:t>
      </w:r>
    </w:p>
    <w:p>
      <w:pPr>
        <w:pStyle w:val="ListParagraph"/>
        <w:numPr>
          <w:ilvl w:val="0"/>
          <w:numId w:val="206"/>
        </w:numPr>
        <w:spacing w:after="60"/>
      </w:pPr>
      <w:r>
        <w:rPr>
          <w:rFonts w:ascii="Aptos" w:cs="Aptos" w:eastAsia="Aptos" w:hAnsi="Aptos"/>
          <w:sz w:val="24"/>
          <w:szCs w:val="24"/>
          <w:b w:val="true"/>
          <w:bCs w:val="true"/>
          <w:i w:val="false"/>
          <w:iCs w:val="false"/>
        </w:rPr>
        <w:t xml:space="preserve">Reading the register. </w:t>
      </w:r>
      <w:r>
        <w:rPr>
          <w:rFonts w:ascii="Aptos" w:cs="Aptos" w:eastAsia="Aptos" w:hAnsi="Aptos"/>
          <w:sz w:val="24"/>
          <w:szCs w:val="24"/>
          <w:b w:val="false"/>
          <w:bCs w:val="false"/>
          <w:i w:val="false"/>
          <w:iCs w:val="false"/>
        </w:rPr>
        <w:t xml:space="preserve">What severity and likelihood mean in practice, and what accepting a risk commits the Agency to. An acceptance is recorded, time-bound, and reviewed. An unrecorded acceptance is just an unfixed problem.</w:t>
      </w:r>
    </w:p>
    <w:p>
      <w:pPr>
        <w:pStyle w:val="ListParagraph"/>
        <w:numPr>
          <w:ilvl w:val="0"/>
          <w:numId w:val="206"/>
        </w:numPr>
        <w:spacing w:after="60"/>
      </w:pPr>
      <w:r>
        <w:rPr>
          <w:rFonts w:ascii="Aptos" w:cs="Aptos" w:eastAsia="Aptos" w:hAnsi="Aptos"/>
          <w:sz w:val="24"/>
          <w:szCs w:val="24"/>
          <w:b w:val="true"/>
          <w:bCs w:val="true"/>
          <w:i w:val="false"/>
          <w:iCs w:val="false"/>
        </w:rPr>
        <w:t xml:space="preserve">Statutory duties. </w:t>
      </w:r>
      <w:r>
        <w:rPr>
          <w:rFonts w:ascii="Aptos" w:cs="Aptos" w:eastAsia="Aptos" w:hAnsi="Aptos"/>
          <w:sz w:val="24"/>
          <w:szCs w:val="24"/>
          <w:b w:val="false"/>
          <w:bCs w:val="false"/>
          <w:i w:val="false"/>
          <w:iCs w:val="false"/>
        </w:rPr>
        <w:t xml:space="preserve">The primary cyber incident reporting contact and the annual deadline to designate and update it, the two-business-day incident reporting window, and the telecommunicator training the Agency must deliver.</w:t>
      </w:r>
    </w:p>
    <w:p>
      <w:pPr>
        <w:pStyle w:val="ListParagraph"/>
        <w:numPr>
          <w:ilvl w:val="0"/>
          <w:numId w:val="206"/>
        </w:numPr>
        <w:spacing w:after="60"/>
      </w:pPr>
      <w:r>
        <w:rPr>
          <w:rFonts w:ascii="Aptos" w:cs="Aptos" w:eastAsia="Aptos" w:hAnsi="Aptos"/>
          <w:sz w:val="24"/>
          <w:szCs w:val="24"/>
          <w:b w:val="true"/>
          <w:bCs w:val="true"/>
          <w:i w:val="false"/>
          <w:iCs w:val="false"/>
        </w:rPr>
        <w:t xml:space="preserve">Reporting up. </w:t>
      </w:r>
      <w:r>
        <w:rPr>
          <w:rFonts w:ascii="Aptos" w:cs="Aptos" w:eastAsia="Aptos" w:hAnsi="Aptos"/>
          <w:sz w:val="24"/>
          <w:szCs w:val="24"/>
          <w:b w:val="false"/>
          <w:bCs w:val="false"/>
          <w:i w:val="false"/>
          <w:iCs w:val="false"/>
        </w:rPr>
        <w:t xml:space="preserve">What a board needs to see: posture, exceptions, and overdue items. A report that never carries an exception usually means the reporting is wrong, not that the program is perfect.</w:t>
      </w:r>
    </w:p>
    <w:p>
      <w:pPr>
        <w:pStyle w:val="ListParagraph"/>
        <w:numPr>
          <w:ilvl w:val="0"/>
          <w:numId w:val="206"/>
        </w:numPr>
        <w:spacing w:after="60"/>
      </w:pPr>
      <w:r>
        <w:rPr>
          <w:rFonts w:ascii="Aptos" w:cs="Aptos" w:eastAsia="Aptos" w:hAnsi="Aptos"/>
          <w:sz w:val="24"/>
          <w:szCs w:val="24"/>
          <w:b w:val="true"/>
          <w:bCs w:val="true"/>
          <w:i w:val="false"/>
          <w:iCs w:val="false"/>
        </w:rPr>
        <w:t xml:space="preserve">Paying for it. </w:t>
      </w:r>
      <w:r>
        <w:rPr>
          <w:rFonts w:ascii="Aptos" w:cs="Aptos" w:eastAsia="Aptos" w:hAnsi="Aptos"/>
          <w:sz w:val="24"/>
          <w:szCs w:val="24"/>
          <w:b w:val="false"/>
          <w:bCs w:val="false"/>
          <w:i w:val="false"/>
          <w:iCs w:val="false"/>
        </w:rPr>
        <w:t xml:space="preserve">How security work is budgeted, what state 9-1-1 funds may be used for, and what happens to a risk accepted only because it is unfunded. That risk stays on the register with the funding gap named.</w:t>
      </w:r>
    </w:p>
    <w:p>
      <w:pPr>
        <w:spacing w:after="120" w:before="0"/>
      </w:pPr>
      <w:r>
        <w:rPr>
          <w:rFonts w:ascii="Aptos" w:cs="Aptos" w:eastAsia="Aptos" w:hAnsi="Aptos"/>
          <w:sz w:val="24"/>
          <w:szCs w:val="24"/>
          <w:b w:val="true"/>
          <w:bCs w:val="true"/>
          <w:i w:val="false"/>
          <w:iCs w:val="false"/>
        </w:rPr>
        <w:t xml:space="preserve">Knowledge check. </w:t>
      </w:r>
      <w:r>
        <w:rPr>
          <w:rFonts w:ascii="Aptos" w:cs="Aptos" w:eastAsia="Aptos" w:hAnsi="Aptos"/>
          <w:sz w:val="24"/>
          <w:szCs w:val="24"/>
          <w:b w:val="false"/>
          <w:bCs w:val="false"/>
          <w:i w:val="false"/>
          <w:iCs w:val="false"/>
        </w:rPr>
        <w:t xml:space="preserve">The learner reviews one live risk register entry and records an accept, mitigate, or transfer decision with a rationale and a review date. Passing requires a dated decision with a named owner.</w:t>
      </w:r>
    </w:p>
    <w:p>
      <w:pPr>
        <w:spacing w:after="120" w:before="0"/>
      </w:pPr>
      <w:r>
        <w:rPr>
          <w:rFonts w:ascii="Aptos" w:cs="Aptos" w:eastAsia="Aptos" w:hAnsi="Aptos"/>
          <w:sz w:val="24"/>
          <w:szCs w:val="24"/>
          <w:b w:val="true"/>
          <w:bCs w:val="true"/>
          <w:i w:val="false"/>
          <w:iCs w:val="false"/>
        </w:rPr>
        <w:t xml:space="preserve">Refresh. </w:t>
      </w:r>
      <w:r>
        <w:rPr>
          <w:rFonts w:ascii="Aptos" w:cs="Aptos" w:eastAsia="Aptos" w:hAnsi="Aptos"/>
          <w:sz w:val="24"/>
          <w:szCs w:val="24"/>
          <w:b w:val="false"/>
          <w:bCs w:val="false"/>
          <w:i w:val="false"/>
          <w:iCs w:val="false"/>
        </w:rPr>
        <w:t xml:space="preserve">At assignment, then annually, and whenever the person holding the role changes.</w:t>
      </w:r>
    </w:p>
    <w:p>
      <w:pPr>
        <w:spacing w:after="120" w:before="0"/>
      </w:pPr>
      <w:r>
        <w:rPr>
          <w:rFonts w:ascii="Aptos" w:cs="Aptos" w:eastAsia="Aptos" w:hAnsi="Aptos"/>
          <w:sz w:val="24"/>
          <w:szCs w:val="24"/>
          <w:b w:val="true"/>
          <w:bCs w:val="true"/>
          <w:i w:val="false"/>
          <w:iCs w:val="false"/>
        </w:rPr>
        <w:t xml:space="preserve">Teaches from: </w:t>
      </w:r>
      <w:r>
        <w:rPr>
          <w:rFonts w:ascii="Aptos" w:cs="Aptos" w:eastAsia="Aptos" w:hAnsi="Aptos"/>
          <w:sz w:val="24"/>
          <w:szCs w:val="24"/>
          <w:b w:val="false"/>
          <w:bCs w:val="false"/>
          <w:i w:val="false"/>
          <w:iCs w:val="false"/>
        </w:rPr>
        <w:t xml:space="preserve">Cybersecurity Charter / Leadership Designation Letter · Cybersecurity Governance Charter · Risk Register · Risk Treatment / Acceptance Decisions Log · Board / Leadership Security Reporting Template · Cybersecurity Budget &amp; Resource Allocation Record · IT Support Accountability Agreement (SLA / MOU).</w:t>
      </w:r>
    </w:p>
    <w:p>
      <w:pPr>
        <w:pStyle w:val="Heading2"/>
        <w:spacing w:after="100" w:before="220"/>
      </w:pPr>
      <w:r>
        <w:rPr>
          <w:rFonts w:ascii="Aptos" w:cs="Aptos" w:eastAsia="Aptos" w:hAnsi="Aptos"/>
          <w:sz w:val="26"/>
          <w:szCs w:val="26"/>
          <w:b w:val="true"/>
          <w:bCs w:val="true"/>
          <w:i w:val="false"/>
          <w:iCs w:val="false"/>
          <w:color w:val="1B3A5C"/>
        </w:rPr>
        <w:t xml:space="preserve">5. Professional Development and Continuing Education</w:t>
      </w:r>
    </w:p>
    <w:p>
      <w:pPr>
        <w:spacing w:after="140"/>
      </w:pPr>
      <w:r>
        <w:rPr>
          <w:rFonts w:ascii="Aptos" w:cs="Aptos" w:eastAsia="Aptos" w:hAnsi="Aptos"/>
          <w:sz w:val="24"/>
          <w:szCs w:val="24"/>
          <w:b w:val="false"/>
          <w:bCs w:val="false"/>
          <w:i w:val="true"/>
          <w:iCs w:val="true"/>
          <w:color w:val="595959"/>
        </w:rPr>
        <w:t xml:space="preserve">«How the Agency funds, approves, and records credentials and continuing education. The credentials that fit each function are named in the tracks above; this section covers the program that pays for them.»</w:t>
      </w:r>
    </w:p>
    <w:p>
      <w:pPr>
        <w:spacing w:after="120" w:before="0"/>
      </w:pPr>
      <w:r>
        <w:rPr>
          <w:rFonts w:ascii="Aptos" w:cs="Aptos" w:eastAsia="Aptos" w:hAnsi="Aptos"/>
          <w:sz w:val="24"/>
          <w:szCs w:val="24"/>
          <w:b w:val="false"/>
          <w:bCs w:val="false"/>
          <w:i w:val="false"/>
          <w:iCs w:val="false"/>
        </w:rPr>
        <w:t xml:space="preserve">Technical skill is assessed two ways: by credential and by experience. A credential shows a tested baseline across a defined body of knowledge. Experience is harder to assess and no less real, and a technician who has run a specific system for years may handle it better than someone holding a general certificate. The Agency weighs both, and matches the credential to the equipment the person actually maintains rather than to a list.</w:t>
      </w:r>
    </w:p>
    <w:p>
      <w:pPr>
        <w:spacing w:after="120" w:before="0"/>
      </w:pPr>
      <w:r>
        <w:rPr>
          <w:rFonts w:ascii="Aptos" w:cs="Aptos" w:eastAsia="Aptos" w:hAnsi="Aptos"/>
          <w:sz w:val="24"/>
          <w:szCs w:val="24"/>
          <w:b w:val="true"/>
          <w:bCs w:val="true"/>
          <w:i w:val="false"/>
          <w:iCs w:val="false"/>
        </w:rPr>
        <w:t xml:space="preserve">Approval and funding. </w:t>
      </w:r>
      <w:r>
        <w:rPr>
          <w:rFonts w:ascii="Aptos" w:cs="Aptos" w:eastAsia="Aptos" w:hAnsi="Aptos"/>
          <w:sz w:val="24"/>
          <w:szCs w:val="24"/>
          <w:b w:val="false"/>
          <w:bCs w:val="false"/>
          <w:i w:val="false"/>
          <w:iCs w:val="false"/>
        </w:rPr>
        <w:t xml:space="preserve">{directorName} approves credential sponsorship and continuing education against the Agency's stated security priorities, and the commitment is recorded in the Cybersecurity Budget &amp; Resource Allocation Record. State 9-1-1 fund distributions may be used for allowable training purposes; confirm the specific use before committing funds.</w:t>
      </w:r>
    </w:p>
    <w:p>
      <w:pPr>
        <w:spacing w:after="120" w:before="0"/>
      </w:pPr>
      <w:r>
        <w:rPr>
          <w:rFonts w:ascii="Aptos" w:cs="Aptos" w:eastAsia="Aptos" w:hAnsi="Aptos"/>
          <w:sz w:val="24"/>
          <w:szCs w:val="24"/>
          <w:b w:val="true"/>
          <w:bCs w:val="true"/>
          <w:i w:val="false"/>
          <w:iCs w:val="false"/>
        </w:rPr>
        <w:t xml:space="preserve">Study and exam time. </w:t>
      </w:r>
      <w:r>
        <w:rPr>
          <w:rFonts w:ascii="Aptos" w:cs="Aptos" w:eastAsia="Aptos" w:hAnsi="Aptos"/>
          <w:sz w:val="24"/>
          <w:szCs w:val="24"/>
          <w:b w:val="false"/>
          <w:bCs w:val="false"/>
          <w:i w:val="false"/>
          <w:iCs w:val="false"/>
        </w:rPr>
        <w:t xml:space="preserve">[State whether preparation and exam time are on duty, and how they are scheduled around shift coverage.]</w:t>
      </w:r>
    </w:p>
    <w:p>
      <w:pPr>
        <w:spacing w:after="120" w:before="0"/>
      </w:pPr>
      <w:r>
        <w:rPr>
          <w:rFonts w:ascii="Aptos" w:cs="Aptos" w:eastAsia="Aptos" w:hAnsi="Aptos"/>
          <w:sz w:val="24"/>
          <w:szCs w:val="24"/>
          <w:b w:val="true"/>
          <w:bCs w:val="true"/>
          <w:i w:val="false"/>
          <w:iCs w:val="false"/>
        </w:rPr>
        <w:t xml:space="preserve">Maintaining a credential. </w:t>
      </w:r>
      <w:r>
        <w:rPr>
          <w:rFonts w:ascii="Aptos" w:cs="Aptos" w:eastAsia="Aptos" w:hAnsi="Aptos"/>
          <w:sz w:val="24"/>
          <w:szCs w:val="24"/>
          <w:b w:val="false"/>
          <w:bCs w:val="false"/>
          <w:i w:val="false"/>
          <w:iCs w:val="false"/>
        </w:rPr>
        <w:t xml:space="preserve">Most credentials require continuing education credits on a set cycle. The Agency tracks the renewal date alongside the training record, so a lapsed credential surfaces before it expires rather than at the next assessment.</w:t>
      </w:r>
    </w:p>
    <w:p>
      <w:pPr>
        <w:spacing w:after="120" w:before="0"/>
      </w:pPr>
      <w:r>
        <w:rPr>
          <w:rFonts w:ascii="Aptos" w:cs="Aptos" w:eastAsia="Aptos" w:hAnsi="Aptos"/>
          <w:sz w:val="24"/>
          <w:szCs w:val="24"/>
          <w:b w:val="true"/>
          <w:bCs w:val="true"/>
          <w:i w:val="false"/>
          <w:iCs w:val="false"/>
        </w:rPr>
        <w:t xml:space="preserve">If someone leaves. </w:t>
      </w:r>
      <w:r>
        <w:rPr>
          <w:rFonts w:ascii="Aptos" w:cs="Aptos" w:eastAsia="Aptos" w:hAnsi="Aptos"/>
          <w:sz w:val="24"/>
          <w:szCs w:val="24"/>
          <w:b w:val="false"/>
          <w:bCs w:val="false"/>
          <w:i w:val="false"/>
          <w:iCs w:val="false"/>
        </w:rPr>
        <w:t xml:space="preserve">[State any service or repayment commitment attached to sponsored credentials, or state that none applies.]</w:t>
      </w:r>
    </w:p>
    <w:p>
      <w:pPr>
        <w:spacing w:after="120" w:before="0"/>
      </w:pPr>
      <w:r>
        <w:rPr>
          <w:rFonts w:ascii="Aptos" w:cs="Aptos" w:eastAsia="Aptos" w:hAnsi="Aptos"/>
          <w:sz w:val="24"/>
          <w:szCs w:val="24"/>
          <w:b w:val="true"/>
          <w:bCs w:val="true"/>
          <w:i w:val="false"/>
          <w:iCs w:val="false"/>
        </w:rPr>
        <w:t xml:space="preserve">Where sponsorship is not affordable. </w:t>
      </w:r>
      <w:r>
        <w:rPr>
          <w:rFonts w:ascii="Aptos" w:cs="Aptos" w:eastAsia="Aptos" w:hAnsi="Aptos"/>
          <w:sz w:val="24"/>
          <w:szCs w:val="24"/>
          <w:b w:val="false"/>
          <w:bCs w:val="false"/>
          <w:i w:val="false"/>
          <w:iCs w:val="false"/>
        </w:rPr>
        <w:t xml:space="preserve">Vendor webinars, state-offered sessions, and no-cost federal cybersecurity training carry no sponsorship cost and are recorded the same way as a paid credential. An agency that cannot fund a certification can still show a workforce that is developing.</w:t>
      </w:r>
    </w:p>
    <w:p>
      <w:pPr>
        <w:pStyle w:val="Heading2"/>
        <w:spacing w:after="100" w:before="220"/>
      </w:pPr>
      <w:r>
        <w:rPr>
          <w:rFonts w:ascii="Aptos" w:cs="Aptos" w:eastAsia="Aptos" w:hAnsi="Aptos"/>
          <w:sz w:val="26"/>
          <w:szCs w:val="26"/>
          <w:b w:val="true"/>
          <w:bCs w:val="true"/>
          <w:i w:val="false"/>
          <w:iCs w:val="false"/>
          <w:color w:val="1B3A5C"/>
        </w:rPr>
        <w:t xml:space="preserve">6. Completion Tracking</w:t>
      </w:r>
    </w:p>
    <w:p>
      <w:pPr>
        <w:spacing w:after="140"/>
      </w:pPr>
      <w:r>
        <w:rPr>
          <w:rFonts w:ascii="Aptos" w:cs="Aptos" w:eastAsia="Aptos" w:hAnsi="Aptos"/>
          <w:sz w:val="24"/>
          <w:szCs w:val="24"/>
          <w:b w:val="false"/>
          <w:bCs w:val="false"/>
          <w:i w:val="true"/>
          <w:iCs w:val="true"/>
          <w:color w:val="595959"/>
        </w:rPr>
        <w:t xml:space="preserve">«How completion is recorded and where. Reference the completion record; do not restate it.»</w:t>
      </w:r>
    </w:p>
    <w:p>
      <w:pPr>
        <w:spacing w:after="120" w:before="0"/>
      </w:pPr>
      <w:r>
        <w:rPr>
          <w:rFonts w:ascii="Aptos" w:cs="Aptos" w:eastAsia="Aptos" w:hAnsi="Aptos"/>
          <w:sz w:val="24"/>
          <w:szCs w:val="24"/>
          <w:b w:val="false"/>
          <w:bCs w:val="false"/>
          <w:i w:val="false"/>
          <w:iCs w:val="false"/>
        </w:rPr>
        <w:t xml:space="preserve">Every completed track is recorded in the Training Completion Records, one row per person per track, using the track name exactly as it appears here so the log and this document stay readable against each other. Role-based tracks are marked as role-based in that log, which separates them from baseline awareness completions.</w:t>
      </w:r>
    </w:p>
    <w:p>
      <w:pPr>
        <w:spacing w:after="120" w:before="0"/>
      </w:pPr>
      <w:r>
        <w:rPr>
          <w:rFonts w:ascii="Aptos" w:cs="Aptos" w:eastAsia="Aptos" w:hAnsi="Aptos"/>
          <w:sz w:val="24"/>
          <w:szCs w:val="24"/>
          <w:b w:val="false"/>
          <w:bCs w:val="false"/>
          <w:i w:val="false"/>
          <w:iCs w:val="false"/>
        </w:rPr>
        <w:t xml:space="preserve">Where a knowledge check produces a demonstrated result rather than attendance, the result and any remediation are recorded in the Competency Assessment Records. CJIS Security Awareness Training completion is tracked in the CJIS Security Awareness Training Completion Record and is not duplicated here.</w:t>
      </w:r>
    </w:p>
    <w:p>
      <w:pPr>
        <w:spacing w:after="120" w:before="0"/>
      </w:pPr>
      <w:r>
        <w:rPr>
          <w:rFonts w:ascii="Aptos" w:cs="Aptos" w:eastAsia="Aptos" w:hAnsi="Aptos"/>
          <w:sz w:val="24"/>
          <w:szCs w:val="24"/>
          <w:b w:val="false"/>
          <w:bCs w:val="false"/>
          <w:i w:val="false"/>
          <w:iCs w:val="false"/>
        </w:rPr>
        <w:t xml:space="preserve">{theTrainingSecurityCoordinator} reviews assignment and completion at least {reviewCadence}, follows up on anything overdue, and reports completion against the targets leadership sets.</w:t>
      </w:r>
    </w:p>
    <w:p>
      <w:pPr>
        <w:pStyle w:val="Heading2"/>
        <w:spacing w:after="100" w:before="220"/>
      </w:pPr>
      <w:r>
        <w:rPr>
          <w:rFonts w:ascii="Aptos" w:cs="Aptos" w:eastAsia="Aptos" w:hAnsi="Aptos"/>
          <w:sz w:val="26"/>
          <w:szCs w:val="26"/>
          <w:b w:val="true"/>
          <w:bCs w:val="true"/>
          <w:i w:val="false"/>
          <w:iCs w:val="false"/>
          <w:color w:val="1B3A5C"/>
        </w:rPr>
        <w:t xml:space="preserve">7. Review and Refresh</w:t>
      </w:r>
    </w:p>
    <w:p>
      <w:pPr>
        <w:spacing w:after="140"/>
      </w:pPr>
      <w:r>
        <w:rPr>
          <w:rFonts w:ascii="Aptos" w:cs="Aptos" w:eastAsia="Aptos" w:hAnsi="Aptos"/>
          <w:sz w:val="24"/>
          <w:szCs w:val="24"/>
          <w:b w:val="false"/>
          <w:bCs w:val="false"/>
          <w:i w:val="true"/>
          <w:iCs w:val="true"/>
          <w:color w:val="595959"/>
        </w:rPr>
        <w:t xml:space="preserve">«How often the material is reviewed, and what forces a change outside the cycle.»</w:t>
      </w:r>
    </w:p>
    <w:p>
      <w:pPr>
        <w:spacing w:after="120" w:before="0"/>
      </w:pPr>
      <w:r>
        <w:rPr>
          <w:rFonts w:ascii="Aptos" w:cs="Aptos" w:eastAsia="Aptos" w:hAnsi="Aptos"/>
          <w:sz w:val="24"/>
          <w:szCs w:val="24"/>
          <w:b w:val="false"/>
          <w:bCs w:val="false"/>
          <w:i w:val="false"/>
          <w:iCs w:val="false"/>
        </w:rPr>
        <w:t xml:space="preserve">This material is reviewed at least {reviewCadence2} by the {ownerRole}, and revised sooner when any of the following happens: a new system or technology changes what a track must teach; an incident or after-action review shows a gap in what was taught; a phishing simulation or competency assessment shows a pattern of weakness; or a governing policy or standard named in a track's Teaches from line is revised.</w:t>
      </w:r>
    </w:p>
    <w:p>
      <w:pPr>
        <w:spacing w:after="120" w:before="0"/>
      </w:pPr>
      <w:r>
        <w:rPr>
          <w:rFonts w:ascii="Aptos" w:cs="Aptos" w:eastAsia="Aptos" w:hAnsi="Aptos"/>
          <w:sz w:val="24"/>
          <w:szCs w:val="24"/>
          <w:b w:val="false"/>
          <w:bCs w:val="false"/>
          <w:i w:val="false"/>
          <w:iCs w:val="false"/>
        </w:rPr>
        <w:t xml:space="preserve">Each review records what changed and why in the revision history. A review that produces no change at all is worth questioning: the threat picture in a 9-1-1 environment rarely holds still for a year.</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One or two people hold most of the tracks, and the first honest step is writing that down. Deliver Tracks E and F to everyone, then work the assignment worksheet for the technical tracks and expect the director and the county IT contact to carry several each. Vendor-delivered and state-offered sessions cover content the Agency cannot build itself. Record completion on the same roster used for awareness training.</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security coordinator owns the worksheet and keeps it current. Technical tracks split between shared county IT and the coordinator, while Tracks E and F stay close to universal. Refresh the technical tracks more often than annually where the systems change, and report completion to leadership on the reporting cycle.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Assignment is driven from the function each person performs rather than from a title list, and enrollment can be automated once that mapping is written down. Sponsored credentials and continuing education become realistic at this size, and competency results rather than attendance are what leadership sees.</w:t>
            </w:r>
          </w:p>
        </w:tc>
      </w:tr>
    </w:tbl>
    <w:p>
      <w:pPr>
        <w:pStyle w:val="Heading2"/>
        <w:spacing w:after="100" w:before="220"/>
      </w:pPr>
      <w:r>
        <w:rPr>
          <w:rFonts w:ascii="Aptos" w:cs="Aptos" w:eastAsia="Aptos" w:hAnsi="Aptos"/>
          <w:sz w:val="26"/>
          <w:szCs w:val="26"/>
          <w:b w:val="true"/>
          <w:bCs w:val="true"/>
          <w:i w:val="false"/>
          <w:iCs w:val="false"/>
          <w:color w:val="1B3A5C"/>
        </w:rPr>
        <w:t xml:space="preserve">CJIS / Indiana Overlay Note</w:t>
      </w:r>
    </w:p>
    <w:p>
      <w:pPr>
        <w:spacing w:after="140"/>
      </w:pPr>
      <w:r>
        <w:rPr>
          <w:rFonts w:ascii="Aptos" w:cs="Aptos" w:eastAsia="Aptos" w:hAnsi="Aptos"/>
          <w:sz w:val="24"/>
          <w:szCs w:val="24"/>
          <w:b w:val="false"/>
          <w:bCs w:val="false"/>
          <w:i w:val="true"/>
          <w:iCs w:val="true"/>
          <w:color w:val="595959"/>
        </w:rPr>
        <w:t xml:space="preserve">«Note where this material touches CJIS training or an Indiana training requirement. Carry the citations into Source Authority. Delete if not applicable.»</w:t>
      </w:r>
    </w:p>
    <w:p>
      <w:pPr>
        <w:spacing w:after="120" w:before="0"/>
      </w:pPr>
      <w:r>
        <w:rPr>
          <w:rFonts w:ascii="Aptos" w:cs="Aptos" w:eastAsia="Aptos" w:hAnsi="Aptos"/>
          <w:sz w:val="24"/>
          <w:szCs w:val="24"/>
          <w:b w:val="false"/>
          <w:bCs w:val="false"/>
          <w:i w:val="false"/>
          <w:iCs w:val="false"/>
        </w:rPr>
        <w:t xml:space="preserve">Track E covers the handling of criminal justice information, reached in Indiana through IDACS. That content sits alongside, and does not replace, the CJIS Security Awareness Training required for anyone with access to CJIS-regulated systems: that training is assigned in the Cybersecurity Training Plan and evidenced in the CJIS Security Awareness Training Completion Record. Indiana telecommunicator training requirements, including required IDACS and NCIC coursework, are met through [the Agency's telecommunicator training program] and tracked alongside this material.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sz w:val="24"/>
                <w:szCs w:val="24"/>
                <w:b w:val="false"/>
                <w:bCs w:val="false"/>
                <w:i w:val="false"/>
                <w:iCs w:val="false"/>
              </w:rPr>
              <w:t xml:space="preserve">NENA-STA-040.2-2024: §4.2.3 (Transport and Shipping of Electronic Media and Devices); §5.1 (Cybersecurity Training); §5.1.2 (Technician Security Training); §6.1.5 (Access Control for Display Medium); §6.1.7 (Identification Badges); §6.1.8 (Visitor Control); §6.6 (Inactive Sessions); §6.24 (Disposal)</w:t>
            </w:r>
          </w:p>
          <w:p>
            <w:pPr>
              <w:spacing w:after="40" w:before="0"/>
            </w:pPr>
            <w:r>
              <w:rPr>
                <w:rFonts w:ascii="Aptos" w:cs="Aptos" w:eastAsia="Aptos" w:hAnsi="Aptos"/>
                <w:sz w:val="24"/>
                <w:szCs w:val="24"/>
                <w:b w:val="false"/>
                <w:bCs w:val="false"/>
                <w:i w:val="false"/>
                <w:iCs w:val="false"/>
              </w:rPr>
              <w:t xml:space="preserve">NIST SP 800-53 Rev. 5: AC-11, AT-3, AT-4, AT-6, IR-2, MP-5, MP-6, PE-5, PL-4, PM-13</w:t>
            </w:r>
          </w:p>
          <w:p>
            <w:pPr>
              <w:spacing w:after="40" w:before="0"/>
            </w:pPr>
            <w:r>
              <w:rPr>
                <w:rFonts w:ascii="Aptos" w:cs="Aptos" w:eastAsia="Aptos" w:hAnsi="Aptos"/>
                <w:sz w:val="24"/>
                <w:szCs w:val="24"/>
                <w:b w:val="false"/>
                <w:bCs w:val="false"/>
                <w:i w:val="false"/>
                <w:iCs w:val="false"/>
              </w:rPr>
              <w:t xml:space="preserve">Indiana statutes and administrative code: HEA 1169 (2021): Cyber Incident Reporting to IOT; IC 24-4.9: Data Breach Notification; IC 36-8-16.7: Statewide 911 (allowable training uses); IC 36-8-16.8: Public Safety Telecommunicator Training; 240 IAC 5: IDACS Security</w:t>
            </w:r>
          </w:p>
          <w:p>
            <w:pPr>
              <w:spacing w:after="0" w:before="0"/>
            </w:pPr>
            <w:r>
              <w:rPr>
                <w:rFonts w:ascii="Aptos" w:cs="Aptos" w:eastAsia="Aptos" w:hAnsi="Aptos"/>
                <w:sz w:val="24"/>
                <w:szCs w:val="24"/>
                <w:b w:val="false"/>
                <w:bCs w:val="false"/>
                <w:i w:val="false"/>
                <w:iCs w:val="false"/>
              </w:rPr>
              <w:t xml:space="preserve">CJIS Security Policy v5.9: §5.2 (Security Awareness Training)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60"/>
            </w:pPr>
            <w:r>
              <w:rPr>
                <w:rFonts w:ascii="Aptos" w:cs="Aptos" w:eastAsia="Aptos" w:hAnsi="Aptos"/>
                <w:i/>
                <w:iCs/>
                <w:color w:val="595959"/>
                <w:sz w:val="24"/>
                <w:szCs w:val="24"/>
              </w:rPr>
              <w:t xml:space="preserve">Typed Training Material. The shell's six standard elements are all present but redistributed for flow: Learning Objectives, Content Outline, and Knowledge Check repeat inside each track; Audience becomes the assignment worksheet in Section 2; Delivery Method and Completion Tracking stay global. Purpose and Scope and Review and Refresh were added. Structural deviation approved before drafting.</w:t>
            </w:r>
          </w:p>
          <w:p>
            <w:pPr>
              <w:spacing w:after="60"/>
            </w:pPr>
            <w:r>
              <w:rPr>
                <w:rFonts w:ascii="Aptos" w:cs="Aptos" w:eastAsia="Aptos" w:hAnsi="Aptos"/>
                <w:i/>
                <w:iCs/>
                <w:color w:val="595959"/>
                <w:sz w:val="24"/>
                <w:szCs w:val="24"/>
              </w:rPr>
              <w:t xml:space="preserve">Tracks are assigned by function rather than by job title, by decision, so the material fits any org chart. The worksheet ships with the third column empty on purpose: the Agency writes in its own role titles, and no title-to-track lookup is supplied that could be used in place of the functional test.</w:t>
            </w:r>
          </w:p>
          <w:p>
            <w:pPr>
              <w:spacing w:after="60"/>
            </w:pPr>
            <w:r>
              <w:rPr>
                <w:rFonts w:ascii="Aptos" w:cs="Aptos" w:eastAsia="Aptos" w:hAnsi="Aptos"/>
                <w:i/>
                <w:iCs/>
                <w:color w:val="595959"/>
                <w:sz w:val="24"/>
                <w:szCs w:val="24"/>
              </w:rPr>
              <w:t xml:space="preserve">Credential and continuing-education mechanics sit in one global section; the credentials that fit a function are named in Tracks A through D only. Tracks E, F, and G carry no credential line because none applies.</w:t>
            </w:r>
          </w:p>
          <w:p>
            <w:pPr>
              <w:spacing w:after="60"/>
            </w:pPr>
            <w:r>
              <w:rPr>
                <w:rFonts w:ascii="Aptos" w:cs="Aptos" w:eastAsia="Aptos" w:hAnsi="Aptos"/>
                <w:i/>
                <w:iCs/>
                <w:color w:val="595959"/>
                <w:sz w:val="24"/>
                <w:szCs w:val="24"/>
              </w:rPr>
              <w:t xml:space="preserve">Classification is Internal per the Training Material rule. It should be raised if the Agency fills in actual detection thresholds, isolation steps, or system-specific configuration values.</w:t>
            </w:r>
          </w:p>
          <w:p>
            <w:pPr>
              <w:spacing w:after="60"/>
            </w:pPr>
            <w:r>
              <w:rPr>
                <w:rFonts w:ascii="Aptos" w:cs="Aptos" w:eastAsia="Aptos" w:hAnsi="Aptos"/>
                <w:i/>
                <w:iCs/>
                <w:color w:val="595959"/>
                <w:sz w:val="24"/>
                <w:szCs w:val="24"/>
              </w:rPr>
              <w:t xml:space="preserve">[Confirm the Agency's delivery methods and expected duration per track (Section 3).]</w:t>
            </w:r>
          </w:p>
          <w:p>
            <w:pPr>
              <w:spacing w:after="60"/>
            </w:pPr>
            <w:r>
              <w:rPr>
                <w:rFonts w:ascii="Aptos" w:cs="Aptos" w:eastAsia="Aptos" w:hAnsi="Aptos"/>
                <w:i/>
                <w:iCs/>
                <w:color w:val="595959"/>
                <w:sz w:val="24"/>
                <w:szCs w:val="24"/>
              </w:rPr>
              <w:t xml:space="preserve">[Confirm the review cadence, and the reminder cadence for Track F.]</w:t>
            </w:r>
          </w:p>
          <w:p>
            <w:pPr>
              <w:spacing w:after="60"/>
            </w:pPr>
            <w:r>
              <w:rPr>
                <w:rFonts w:ascii="Aptos" w:cs="Aptos" w:eastAsia="Aptos" w:hAnsi="Aptos"/>
                <w:i/>
                <w:iCs/>
                <w:color w:val="595959"/>
                <w:sz w:val="24"/>
                <w:szCs w:val="24"/>
              </w:rPr>
              <w:t xml:space="preserve">[Confirm whether sponsored credentials carry a service or repayment commitment (Section 5).]</w:t>
            </w:r>
          </w:p>
          <w:p>
            <w:pPr>
              <w:spacing w:after="0"/>
            </w:pPr>
            <w:r>
              <w:rPr>
                <w:rFonts w:ascii="Aptos" w:cs="Aptos" w:eastAsia="Aptos" w:hAnsi="Aptos"/>
                <w:i/>
                <w:iCs/>
                <w:color w:val="595959"/>
                <w:sz w:val="24"/>
                <w:szCs w:val="24"/>
              </w:rPr>
              <w:t xml:space="preserve">[Confirm the telecommunicator training program named in the CJIS / Indiana overlay note.]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0"/>
    <w:lvlOverride w:ilvl="0">
      <w:startOverride w:val="1"/>
    </w:lvlOverride>
  </w:num>
  <w:num w:numId="3">
    <w:abstractNumId w:val="8"/>
    <w:lvlOverride w:ilvl="0">
      <w:startOverride w:val="1"/>
    </w:lvlOverride>
  </w:num>
  <w:num w:numId="200">
    <w:abstractNumId w:val="8"/>
    <w:lvlOverride w:ilvl="0">
      <w:startOverride w:val="1"/>
    </w:lvlOverride>
  </w:num>
  <w:num w:numId="201">
    <w:abstractNumId w:val="8"/>
    <w:lvlOverride w:ilvl="0">
      <w:startOverride w:val="1"/>
    </w:lvlOverride>
  </w:num>
  <w:num w:numId="202">
    <w:abstractNumId w:val="8"/>
    <w:lvlOverride w:ilvl="0">
      <w:startOverride w:val="1"/>
    </w:lvlOverride>
  </w:num>
  <w:num w:numId="203">
    <w:abstractNumId w:val="8"/>
    <w:lvlOverride w:ilvl="0">
      <w:startOverride w:val="1"/>
    </w:lvlOverride>
  </w:num>
  <w:num w:numId="204">
    <w:abstractNumId w:val="8"/>
    <w:lvlOverride w:ilvl="0">
      <w:startOverride w:val="1"/>
    </w:lvlOverride>
  </w:num>
  <w:num w:numId="205">
    <w:abstractNumId w:val="8"/>
    <w:lvlOverride w:ilvl="0">
      <w:startOverride w:val="1"/>
    </w:lvlOverride>
  </w:num>
  <w:num w:numId="20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2026-06-01T15:29:11.521Z</dcterms:created>
  <dcterms:modified xsi:type="dcterms:W3CDTF">2026-06-01T15:29:11.521Z</dcterms:modified>
  <dc:title xmlns:dc="http://purl.org/dc/elements/1.1/">Role-Specific Training Materials - FORM</dc:title>
</cp:coreProperties>
</file>

<file path=docProps/custom.xml><?xml version="1.0" encoding="utf-8"?>
<Properties xmlns="http://schemas.openxmlformats.org/officeDocument/2006/custom-properties" xmlns:vt="http://schemas.openxmlformats.org/officeDocument/2006/docPropsVTypes"/>
</file>