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Risk Assessment Report</w:t>
      </w:r>
    </w:p>
    <w:p>
      <w:pPr>
        <w:spacing w:after="140"/>
      </w:pPr>
      <w:r>
        <w:rPr>
          <w:rFonts w:ascii="Aptos" w:cs="Aptos" w:eastAsia="Aptos" w:hAnsi="Aptos"/>
          <w:b w:val="false"/>
          <w:bCs w:val="false"/>
          <w:i/>
          <w:iCs/>
          <w:color w:val="595959"/>
          <w:sz w:val="24"/>
          <w:szCs w:val="24"/>
        </w:rPr>
        <w:t xml:space="preserve">Tri-River Regional 911 Center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Assessment date: </w:t>
            </w:r>
            <w:r>
              <w:rPr>
                <w:rFonts w:ascii="Aptos" w:cs="Aptos" w:eastAsia="Aptos" w:hAnsi="Aptos"/>
                <w:b w:val="false"/>
                <w:bCs w:val="false"/>
                <w:i w:val="false"/>
                <w:iCs w:val="false"/>
                <w:color w:val="000000"/>
                <w:sz w:val="24"/>
                <w:szCs w:val="24"/>
              </w:rPr>
              <w:t xml:space="preserve">2026-05-01      </w:t>
            </w:r>
            <w:r>
              <w:rPr>
                <w:rFonts w:ascii="Aptos" w:cs="Aptos" w:eastAsia="Aptos" w:hAnsi="Aptos"/>
                <w:b/>
                <w:bCs/>
                <w:i w:val="false"/>
                <w:iCs w:val="false"/>
                <w:color w:val="000000"/>
                <w:sz w:val="24"/>
                <w:szCs w:val="24"/>
              </w:rPr>
              <w:t xml:space="preserve">Assessor (role): </w:t>
            </w:r>
            <w:r>
              <w:rPr>
                <w:rFonts w:ascii="Aptos" w:cs="Aptos" w:eastAsia="Aptos" w:hAnsi="Aptos"/>
                <w:b w:val="false"/>
                <w:bCs w:val="false"/>
                <w:i w:val="false"/>
                <w:iCs w:val="false"/>
                <w:color w:val="000000"/>
                <w:sz w:val="24"/>
                <w:szCs w:val="24"/>
              </w:rPr>
              <w:t xml:space="preserve">Information Security Analyst, with an external firm for the triennial audit</w:t>
            </w:r>
          </w:p>
          <w:p>
            <w:pPr>
              <w:spacing w:after="40"/>
            </w:pPr>
            <w:r>
              <w:rPr>
                <w:rFonts w:ascii="Aptos" w:cs="Aptos" w:eastAsia="Aptos" w:hAnsi="Aptos"/>
                <w:b/>
                <w:bCs/>
                <w:i w:val="false"/>
                <w:iCs w:val="false"/>
                <w:color w:val="000000"/>
                <w:sz w:val="24"/>
                <w:szCs w:val="24"/>
              </w:rPr>
              <w:t xml:space="preserve">Scope (systems / processes assessed): </w:t>
            </w:r>
            <w:r>
              <w:rPr>
                <w:rFonts w:ascii="Aptos" w:cs="Aptos" w:eastAsia="Aptos" w:hAnsi="Aptos"/>
                <w:b w:val="false"/>
                <w:bCs w:val="false"/>
                <w:i w:val="false"/>
                <w:iCs w:val="false"/>
                <w:color w:val="000000"/>
                <w:sz w:val="24"/>
                <w:szCs w:val="24"/>
              </w:rPr>
              <w:t xml:space="preserve">the full NG911 deployment across both centers: CAD, RMS, GIS, video, ALI, ESInet/NGCS, recording, and the network</w:t>
            </w:r>
          </w:p>
          <w:p>
            <w:pPr>
              <w:spacing w:after="40"/>
            </w:pPr>
            <w:r>
              <w:rPr>
                <w:rFonts w:ascii="Aptos" w:cs="Aptos" w:eastAsia="Aptos" w:hAnsi="Aptos"/>
                <w:b/>
                <w:bCs/>
                <w:i w:val="false"/>
                <w:iCs w:val="false"/>
                <w:color w:val="000000"/>
                <w:sz w:val="24"/>
                <w:szCs w:val="24"/>
              </w:rPr>
              <w:t xml:space="preserve">Facility and environmental scope: </w:t>
            </w:r>
            <w:r>
              <w:rPr>
                <w:rFonts w:ascii="Aptos" w:cs="Aptos" w:eastAsia="Aptos" w:hAnsi="Aptos"/>
                <w:b w:val="false"/>
                <w:bCs w:val="false"/>
                <w:i w:val="false"/>
                <w:iCs w:val="false"/>
                <w:color w:val="000000"/>
                <w:sz w:val="24"/>
                <w:szCs w:val="24"/>
              </w:rPr>
              <w:t xml:space="preserve">fire, flood, temperature, utility/power, EMP, and physical intrusion</w:t>
            </w:r>
          </w:p>
          <w:p>
            <w:pPr>
              <w:spacing w:after="40"/>
            </w:pPr>
            <w:r>
              <w:rPr>
                <w:rFonts w:ascii="Aptos" w:cs="Aptos" w:eastAsia="Aptos" w:hAnsi="Aptos"/>
                <w:b/>
                <w:bCs/>
                <w:i w:val="false"/>
                <w:iCs w:val="false"/>
                <w:color w:val="000000"/>
                <w:sz w:val="24"/>
                <w:szCs w:val="24"/>
              </w:rPr>
              <w:t xml:space="preserve">Assessment period: </w:t>
            </w:r>
            <w:r>
              <w:rPr>
                <w:rFonts w:ascii="Aptos" w:cs="Aptos" w:eastAsia="Aptos" w:hAnsi="Aptos"/>
                <w:b w:val="false"/>
                <w:bCs w:val="false"/>
                <w:i w:val="false"/>
                <w:iCs w:val="false"/>
                <w:color w:val="000000"/>
                <w:sz w:val="24"/>
                <w:szCs w:val="24"/>
              </w:rPr>
              <w:t xml:space="preserve">2026-01-01 to 2026-03-31</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Information Security Analyst</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Restricted</w:t>
            </w:r>
          </w:p>
        </w:tc>
      </w:tr>
    </w:tbl>
    <w:p>
      <w:pPr>
        <w:pStyle w:val="Heading2"/>
      </w:pPr>
      <w:r>
        <w:t xml:space="preserve">1. Executive Summary</w:t>
      </w:r>
    </w:p>
    <w:p>
      <w:pPr>
        <w:spacing w:after="80"/>
      </w:pPr>
      <w:r>
        <w:rPr>
          <w:rFonts w:ascii="Aptos" w:cs="Aptos" w:eastAsia="Aptos" w:hAnsi="Aptos"/>
          <w:b w:val="false"/>
          <w:bCs w:val="false"/>
          <w:i w:val="false"/>
          <w:iCs w:val="false"/>
          <w:color w:val="000000"/>
          <w:sz w:val="24"/>
          <w:szCs w:val="24"/>
        </w:rPr>
        <w:t xml:space="preserve">The Tri-River Regional 911 Center completed its scheduled assessment with continuous-monitoring data, quarterly scanning, and a tabletop exercise, supported by the triennial external audit. The program is mature. The priorities are revising the backup call-handling runbook (life-safety) and standing up periodic recertification of privileged accounts. A single fiber path between the two centers was assessed and accepted for this cycle. Seven findings were recorded in the Risk / Finding Register.</w:t>
      </w:r>
    </w:p>
    <w:p>
      <w:pPr>
        <w:pStyle w:val="Heading2"/>
      </w:pPr>
      <w:r>
        <w:t xml:space="preserve">2. Methodology</w:t>
      </w:r>
    </w:p>
    <w:p>
      <w:pPr>
        <w:spacing w:after="80"/>
      </w:pPr>
      <w:r>
        <w:rPr>
          <w:rFonts w:ascii="Aptos" w:cs="Aptos" w:eastAsia="Aptos" w:hAnsi="Aptos"/>
          <w:b w:val="false"/>
          <w:bCs w:val="false"/>
          <w:i w:val="false"/>
          <w:iCs w:val="false"/>
          <w:color w:val="000000"/>
          <w:sz w:val="24"/>
          <w:szCs w:val="24"/>
        </w:rPr>
        <w:t xml:space="preserve">Methods used: interviews, configuration and vulnerability review, document review, and a tabletop walk-through of call-handling continuity.</w:t>
      </w:r>
    </w:p>
    <w:p>
      <w:pPr>
        <w:spacing w:after="80"/>
      </w:pPr>
      <w:r>
        <w:rPr>
          <w:rFonts w:ascii="Aptos" w:cs="Aptos" w:eastAsia="Aptos" w:hAnsi="Aptos"/>
          <w:b w:val="false"/>
          <w:bCs w:val="false"/>
          <w:i w:val="false"/>
          <w:iCs w:val="false"/>
          <w:color w:val="000000"/>
          <w:sz w:val="24"/>
          <w:szCs w:val="24"/>
        </w:rPr>
        <w:t xml:space="preserve">Impact scoring: each risk is scored High, Medium, or Low on three axes (effect on service, effect on data, effect on life safety). The overall rating takes the highest axis, raised one level when two or more axes score High. Reference: Risk Management Methodology Standard and Risk Assessment Procedure.</w:t>
      </w:r>
    </w:p>
    <w:p>
      <w:pPr>
        <w:pStyle w:val="Heading2"/>
      </w:pPr>
      <w:r>
        <w:t xml:space="preserve">3. Threats and Failure Modes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Category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Threats / failure modes considered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Cyber / technical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Ransomware, credential and privilege abuse, integration compromise (GIS/RMS), TDoS/DoS, legacy TLS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Personnel / process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Privileged-access sprawl, change-management gaps, alert fatigue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Facility / environmental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Fire, flood, temperature, utility/power loss, EMP, intrusion across two physical centers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Third-party / supply chain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Cloud and integration vendors, the inter-center fiber provider, software supply chain</w:t>
            </w:r>
          </w:p>
        </w:tc>
      </w:tr>
    </w:tbl>
    <w:p>
      <w:pPr>
        <w:pStyle w:val="Heading2"/>
      </w:pPr>
      <w:r>
        <w:t xml:space="preserve">4.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50"/>
        <w:gridCol w:w="800"/>
        <w:gridCol w:w="1050"/>
        <w:gridCol w:w="950"/>
        <w:gridCol w:w="231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8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w:t>
            </w:r>
          </w:p>
        </w:tc>
        <w:tc>
          <w:tcPr>
            <w:tcW w:type="dxa" w:w="10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Life safety</w:t>
            </w:r>
          </w:p>
        </w:tc>
        <w:tc>
          <w:tcPr>
            <w:tcW w:type="dxa" w:w="9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w:t>
            </w:r>
          </w:p>
        </w:tc>
        <w:tc>
          <w:tcPr>
            <w:tcW w:type="dxa" w:w="231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Disabled endpoint agents on three workstations (remediated)</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Agents reinstalled; coverage monitored in the SIEM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Privileged accounts without periodic recertification</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Stand up quarterly privileged-access recertification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Backup call-handling runbook out of date</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Revise and re-exercise the continuity runbook</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Single fiber path between the two centers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Accepted this cycle; pursue a diverse path in the capital budget</w:t>
            </w:r>
          </w:p>
        </w:tc>
      </w:tr>
    </w:tbl>
    <w:p>
      <w:pPr>
        <w:pStyle w:val="Heading2"/>
      </w:pPr>
      <w:r>
        <w:t xml:space="preserve">5. Prioritization and Handoff</w:t>
      </w:r>
    </w:p>
    <w:p>
      <w:pPr>
        <w:spacing w:after="80"/>
      </w:pPr>
      <w:r>
        <w:rPr>
          <w:rFonts w:ascii="Aptos" w:cs="Aptos" w:eastAsia="Aptos" w:hAnsi="Aptos"/>
          <w:b w:val="false"/>
          <w:bCs w:val="false"/>
          <w:i w:val="false"/>
          <w:iCs w:val="false"/>
          <w:color w:val="000000"/>
          <w:sz w:val="24"/>
          <w:szCs w:val="24"/>
        </w:rPr>
        <w:t xml:space="preserve">Findings are prioritized by life-safety and service-continuity impact. Each open finding is entered into the Risk / Finding Register (POA&amp;M) for tracking to closure, and each material risk is recorded in the Risk Register with its treatment decision. This report does not track remediation; the POA&amp;M is the single source of truth for finding status.</w:t>
      </w:r>
    </w:p>
    <w:p>
      <w:pPr>
        <w:spacing w:after="80"/>
      </w:pPr>
      <w:r>
        <w:rPr>
          <w:rFonts w:ascii="Aptos" w:cs="Aptos" w:eastAsia="Aptos" w:hAnsi="Aptos"/>
          <w:b w:val="false"/>
          <w:bCs w:val="false"/>
          <w:i w:val="false"/>
          <w:iCs w:val="false"/>
          <w:color w:val="000000"/>
          <w:sz w:val="24"/>
          <w:szCs w:val="24"/>
        </w:rPr>
        <w:t xml:space="preserve">Prioritized for handoff: the life-safety findings first (the continuity runbook and privileged-access recertification), then the remaining items in impact order.</w:t>
      </w:r>
    </w:p>
    <w:p>
      <w:pPr>
        <w:pStyle w:val="Heading2"/>
      </w:pPr>
      <w:r>
        <w:t xml:space="preserve">Profile Scaling Notes</w:t>
      </w:r>
    </w:p>
    <w:p>
      <w:pPr>
        <w:spacing w:after="80"/>
      </w:pPr>
      <w:r>
        <w:rPr>
          <w:rFonts w:ascii="Aptos" w:cs="Aptos" w:eastAsia="Aptos" w:hAnsi="Aptos"/>
          <w:b w:val="false"/>
          <w:bCs w:val="false"/>
          <w:i w:val="false"/>
          <w:iCs w:val="false"/>
          <w:color w:val="000000"/>
          <w:sz w:val="24"/>
          <w:szCs w:val="24"/>
        </w:rPr>
        <w:t xml:space="preserve">The Tri-River Regional 911 Center is a Large-profile PSAP. It runs a formal, scheduled assessment with scanning, continuous monitoring, and tabletop exercises, and the results feed program-level risk management. Maturity work focuses on closing privileged-access and resilience gaps rather than adding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§4.2.1, §4.3, §4.3.1, §4.3.2, §5.2</w:t>
            </w:r>
          </w:p>
          <w:p>
            <w:pPr>
              <w:spacing w:after="20"/>
            </w:pPr>
            <w:r>
              <w:rPr>
                <w:rFonts w:ascii="Aptos" w:cs="Aptos" w:eastAsia="Aptos" w:hAnsi="Aptos"/>
                <w:b w:val="false"/>
                <w:bCs w:val="false"/>
                <w:i w:val="false"/>
                <w:iCs w:val="false"/>
                <w:color w:val="000000"/>
                <w:sz w:val="24"/>
                <w:szCs w:val="24"/>
              </w:rPr>
              <w:t xml:space="preserve">NIST SP 800-53 Rev. 5: CA-2, PE-13, PE-14, PE-15, PE-18, PM-9, RA-2, RA-3, RA-7</w:t>
            </w:r>
          </w:p>
        </w:tc>
      </w:tr>
    </w:tbl>
    <w:p>
      <w:pPr>
        <w:pStyle w:val="Heading2"/>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Information Security Analyst (assessor)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Reviewed by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 2026 assessment cycle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a3f537467aa9aa44e3edde6594d7bf545fb29a.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ca3f537467aa9aa44e3edde6594d7bf545fb29a.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2026-06-04T20:32:00.634Z</dcterms:created>
  <dcterms:modified xsi:type="dcterms:W3CDTF">2026-06-04T20:32:00.634Z</dcterms:modified>
  <dc:title xmlns:dc="http://purl.org/dc/elements/1.1/">Risk Assessment Report - EXAMPLE - L</dc:title>
</cp:coreProperties>
</file>

<file path=docProps/custom.xml><?xml version="1.0" encoding="utf-8"?>
<Properties xmlns="http://schemas.openxmlformats.org/officeDocument/2006/custom-properties" xmlns:vt="http://schemas.openxmlformats.org/officeDocument/2006/docPropsVTypes"/>
</file>