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false"/>
          <w:iCs w:val="false"/>
          <w:color w:val="1B3A5C"/>
          <w:sz w:val="40"/>
          <w:szCs w:val="40"/>
        </w:rPr>
        <w:t xml:space="preserve">Risk Assessment Report</w:t>
      </w:r>
    </w:p>
    <w:p>
      <w:pPr>
        <w:spacing w:after="140"/>
      </w:pPr>
      <w:r>
        <w:rPr>
          <w:rFonts w:ascii="Aptos" w:cs="Aptos" w:eastAsia="Aptos" w:hAnsi="Aptos"/>
          <w:b w:val="false"/>
          <w:bCs w:val="false"/>
          <w:i/>
          <w:iCs/>
          <w:color w:val="595959"/>
          <w:sz w:val="24"/>
          <w:szCs w:val="24"/>
        </w:rPr>
        <w:t xml:space="preserve">Hickory County 911   ·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40"/>
            </w:pPr>
            <w:r>
              <w:rPr>
                <w:rFonts w:ascii="Aptos" w:cs="Aptos" w:eastAsia="Aptos" w:hAnsi="Aptos"/>
                <w:b/>
                <w:bCs/>
                <w:i w:val="false"/>
                <w:iCs w:val="false"/>
                <w:color w:val="000000"/>
                <w:sz w:val="24"/>
                <w:szCs w:val="24"/>
              </w:rPr>
              <w:t xml:space="preserve">Assessment date: </w:t>
            </w:r>
            <w:r>
              <w:rPr>
                <w:rFonts w:ascii="Aptos" w:cs="Aptos" w:eastAsia="Aptos" w:hAnsi="Aptos"/>
                <w:b w:val="false"/>
                <w:bCs w:val="false"/>
                <w:i w:val="false"/>
                <w:iCs w:val="false"/>
                <w:color w:val="000000"/>
                <w:sz w:val="24"/>
                <w:szCs w:val="24"/>
              </w:rPr>
              <w:t xml:space="preserve">2026-05-01      </w:t>
            </w:r>
            <w:r>
              <w:rPr>
                <w:rFonts w:ascii="Aptos" w:cs="Aptos" w:eastAsia="Aptos" w:hAnsi="Aptos"/>
                <w:b/>
                <w:bCs/>
                <w:i w:val="false"/>
                <w:iCs w:val="false"/>
                <w:color w:val="000000"/>
                <w:sz w:val="24"/>
                <w:szCs w:val="24"/>
              </w:rPr>
              <w:t xml:space="preserve">Assessor (role): </w:t>
            </w:r>
            <w:r>
              <w:rPr>
                <w:rFonts w:ascii="Aptos" w:cs="Aptos" w:eastAsia="Aptos" w:hAnsi="Aptos"/>
                <w:b w:val="false"/>
                <w:bCs w:val="false"/>
                <w:i w:val="false"/>
                <w:iCs w:val="false"/>
                <w:color w:val="000000"/>
                <w:sz w:val="24"/>
                <w:szCs w:val="24"/>
              </w:rPr>
              <w:t xml:space="preserve">Director, with county IT (self-assessment)</w:t>
            </w:r>
          </w:p>
          <w:p>
            <w:pPr>
              <w:spacing w:after="40"/>
            </w:pPr>
            <w:r>
              <w:rPr>
                <w:rFonts w:ascii="Aptos" w:cs="Aptos" w:eastAsia="Aptos" w:hAnsi="Aptos"/>
                <w:b/>
                <w:bCs/>
                <w:i w:val="false"/>
                <w:iCs w:val="false"/>
                <w:color w:val="000000"/>
                <w:sz w:val="24"/>
                <w:szCs w:val="24"/>
              </w:rPr>
              <w:t xml:space="preserve">Scope (systems / processes assessed): </w:t>
            </w:r>
            <w:r>
              <w:rPr>
                <w:rFonts w:ascii="Aptos" w:cs="Aptos" w:eastAsia="Aptos" w:hAnsi="Aptos"/>
                <w:b w:val="false"/>
                <w:bCs w:val="false"/>
                <w:i w:val="false"/>
                <w:iCs w:val="false"/>
                <w:color w:val="000000"/>
                <w:sz w:val="24"/>
                <w:szCs w:val="24"/>
              </w:rPr>
              <w:t xml:space="preserve">CAD, the ESInet/NGCS connection, radio and console, ALI, and the courthouse-shared network</w:t>
            </w:r>
          </w:p>
          <w:p>
            <w:pPr>
              <w:spacing w:after="40"/>
            </w:pPr>
            <w:r>
              <w:rPr>
                <w:rFonts w:ascii="Aptos" w:cs="Aptos" w:eastAsia="Aptos" w:hAnsi="Aptos"/>
                <w:b/>
                <w:bCs/>
                <w:i w:val="false"/>
                <w:iCs w:val="false"/>
                <w:color w:val="000000"/>
                <w:sz w:val="24"/>
                <w:szCs w:val="24"/>
              </w:rPr>
              <w:t xml:space="preserve">Facility and environmental scope: </w:t>
            </w:r>
            <w:r>
              <w:rPr>
                <w:rFonts w:ascii="Aptos" w:cs="Aptos" w:eastAsia="Aptos" w:hAnsi="Aptos"/>
                <w:b w:val="false"/>
                <w:bCs w:val="false"/>
                <w:i w:val="false"/>
                <w:iCs w:val="false"/>
                <w:color w:val="000000"/>
                <w:sz w:val="24"/>
                <w:szCs w:val="24"/>
              </w:rPr>
              <w:t xml:space="preserve">fire, flood, temperature, utility/power, EMP, and physical intrusion</w:t>
            </w:r>
          </w:p>
          <w:p>
            <w:pPr>
              <w:spacing w:after="40"/>
            </w:pPr>
            <w:r>
              <w:rPr>
                <w:rFonts w:ascii="Aptos" w:cs="Aptos" w:eastAsia="Aptos" w:hAnsi="Aptos"/>
                <w:b/>
                <w:bCs/>
                <w:i w:val="false"/>
                <w:iCs w:val="false"/>
                <w:color w:val="000000"/>
                <w:sz w:val="24"/>
                <w:szCs w:val="24"/>
              </w:rPr>
              <w:t xml:space="preserve">Assessment period: </w:t>
            </w:r>
            <w:r>
              <w:rPr>
                <w:rFonts w:ascii="Aptos" w:cs="Aptos" w:eastAsia="Aptos" w:hAnsi="Aptos"/>
                <w:b w:val="false"/>
                <w:bCs w:val="false"/>
                <w:i w:val="false"/>
                <w:iCs w:val="false"/>
                <w:color w:val="000000"/>
                <w:sz w:val="24"/>
                <w:szCs w:val="24"/>
              </w:rPr>
              <w:t xml:space="preserve">2026-02-01 to 2026-04-30</w:t>
            </w:r>
          </w:p>
          <w:p>
            <w:pPr>
              <w:spacing w:after="40"/>
            </w:pPr>
            <w:r>
              <w:rPr>
                <w:rFonts w:ascii="Aptos" w:cs="Aptos" w:eastAsia="Aptos" w:hAnsi="Aptos"/>
                <w:b/>
                <w:bCs/>
                <w:i w:val="false"/>
                <w:iCs w:val="false"/>
                <w:color w:val="000000"/>
                <w:sz w:val="24"/>
                <w:szCs w:val="24"/>
              </w:rPr>
              <w:t xml:space="preserve">Owner: </w:t>
            </w:r>
            <w:r>
              <w:rPr>
                <w:rFonts w:ascii="Aptos" w:cs="Aptos" w:eastAsia="Aptos" w:hAnsi="Aptos"/>
                <w:b w:val="false"/>
                <w:bCs w:val="false"/>
                <w:i w:val="false"/>
                <w:iCs w:val="false"/>
                <w:color w:val="000000"/>
                <w:sz w:val="24"/>
                <w:szCs w:val="24"/>
              </w:rPr>
              <w:t xml:space="preserve">Director</w:t>
            </w:r>
          </w:p>
          <w:p>
            <w:pPr>
              <w:spacing w:after="40"/>
            </w:pPr>
            <w:r>
              <w:rPr>
                <w:rFonts w:ascii="Aptos" w:cs="Aptos" w:eastAsia="Aptos" w:hAnsi="Aptos"/>
                <w:b/>
                <w:bCs/>
                <w:i w:val="false"/>
                <w:iCs w:val="false"/>
                <w:color w:val="000000"/>
                <w:sz w:val="24"/>
                <w:szCs w:val="24"/>
              </w:rPr>
              <w:t xml:space="preserve">Classification: </w:t>
            </w:r>
            <w:r>
              <w:rPr>
                <w:rFonts w:ascii="Aptos" w:cs="Aptos" w:eastAsia="Aptos" w:hAnsi="Aptos"/>
                <w:b w:val="false"/>
                <w:bCs w:val="false"/>
                <w:i w:val="false"/>
                <w:iCs w:val="false"/>
                <w:color w:val="000000"/>
                <w:sz w:val="24"/>
                <w:szCs w:val="24"/>
              </w:rPr>
              <w:t xml:space="preserve">Restricted</w:t>
            </w:r>
          </w:p>
        </w:tc>
      </w:tr>
    </w:tbl>
    <w:p>
      <w:pPr>
        <w:pStyle w:val="Heading2"/>
      </w:pPr>
      <w:r>
        <w:t xml:space="preserve">1. Executive Summary</w:t>
      </w:r>
    </w:p>
    <w:p>
      <w:pPr>
        <w:spacing w:after="80"/>
      </w:pPr>
      <w:r>
        <w:rPr>
          <w:rFonts w:ascii="Aptos" w:cs="Aptos" w:eastAsia="Aptos" w:hAnsi="Aptos"/>
          <w:b w:val="false"/>
          <w:bCs w:val="false"/>
          <w:i w:val="false"/>
          <w:iCs w:val="false"/>
          <w:color w:val="000000"/>
          <w:sz w:val="24"/>
          <w:szCs w:val="24"/>
        </w:rPr>
        <w:t xml:space="preserve">Hickory County 911 ran its annual self-assessment with county IT support. The center's controls are basic but functional. The most important finding is the absence of multifactor authentication on remote access to the CAD vendor portal, a life-safety exposure; a single internet uplink with no failover is the main service-continuity concern. Four findings were recorded and entered into the Risk / Finding Register.</w:t>
      </w:r>
    </w:p>
    <w:p>
      <w:pPr>
        <w:pStyle w:val="Heading2"/>
      </w:pPr>
      <w:r>
        <w:t xml:space="preserve">2. Methodology</w:t>
      </w:r>
    </w:p>
    <w:p>
      <w:pPr>
        <w:spacing w:after="80"/>
      </w:pPr>
      <w:r>
        <w:rPr>
          <w:rFonts w:ascii="Aptos" w:cs="Aptos" w:eastAsia="Aptos" w:hAnsi="Aptos"/>
          <w:b w:val="false"/>
          <w:bCs w:val="false"/>
          <w:i w:val="false"/>
          <w:iCs w:val="false"/>
          <w:color w:val="000000"/>
          <w:sz w:val="24"/>
          <w:szCs w:val="24"/>
        </w:rPr>
        <w:t xml:space="preserve">Methods used: interviews, configuration and vulnerability review, document review, and a tabletop walk-through of call-handling continuity.</w:t>
      </w:r>
    </w:p>
    <w:p>
      <w:pPr>
        <w:spacing w:after="80"/>
      </w:pPr>
      <w:r>
        <w:rPr>
          <w:rFonts w:ascii="Aptos" w:cs="Aptos" w:eastAsia="Aptos" w:hAnsi="Aptos"/>
          <w:b w:val="false"/>
          <w:bCs w:val="false"/>
          <w:i w:val="false"/>
          <w:iCs w:val="false"/>
          <w:color w:val="000000"/>
          <w:sz w:val="24"/>
          <w:szCs w:val="24"/>
        </w:rPr>
        <w:t xml:space="preserve">Impact scoring: each risk is scored High, Medium, or Low on three axes (effect on service, effect on data, effect on life safety). The overall rating takes the highest axis, raised one level when two or more axes score High. Reference: Risk Management Methodology Standard and Risk Assessment Procedure.</w:t>
      </w:r>
    </w:p>
    <w:p>
      <w:pPr>
        <w:pStyle w:val="Heading2"/>
      </w:pPr>
      <w:r>
        <w:t xml:space="preserve">3. Threats and Failure Modes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Category</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Threats / failure modes considered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Cyber / technical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Ransomware, credential compromise on the CAD portal, loss of the single internet uplink, misconfiguration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Personnel / process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Untrained staff, shared accounts, county IT stretched across the courthouse network</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Facility / environmental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Fire, flood, temperature loss in the shared server closet, utility/power loss, EMP, physical intrusion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Third-party / supply chain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Single CAD vendor and single ESInet provider; single-carrier upstream</w:t>
            </w:r>
          </w:p>
        </w:tc>
      </w:tr>
    </w:tbl>
    <w:p>
      <w:pPr>
        <w:pStyle w:val="Heading2"/>
      </w:pPr>
      <w:r>
        <w:t xml:space="preserve">4.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850"/>
        <w:gridCol w:w="800"/>
        <w:gridCol w:w="1050"/>
        <w:gridCol w:w="950"/>
        <w:gridCol w:w="2310"/>
      </w:tblGrid>
      <w:tr>
        <w:trPr>
          <w:cantSplit/>
          <w:tblHeader/>
        </w:trPr>
        <w:tc>
          <w:tcPr>
            <w:tcW w:type="dxa" w:w="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ID</w:t>
            </w:r>
          </w:p>
        </w:tc>
        <w:tc>
          <w:tcPr>
            <w:tcW w:type="dxa" w:w="2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Finding</w:t>
            </w:r>
          </w:p>
        </w:tc>
        <w:tc>
          <w:tcPr>
            <w:tcW w:type="dxa" w:w="85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Service</w:t>
            </w:r>
          </w:p>
        </w:tc>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Data</w:t>
            </w:r>
          </w:p>
        </w:tc>
        <w:tc>
          <w:tcPr>
            <w:tcW w:type="dxa" w:w="105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Life safety</w:t>
            </w:r>
          </w:p>
        </w:tc>
        <w:tc>
          <w:tcPr>
            <w:tcW w:type="dxa" w:w="95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Overall</w:t>
            </w:r>
          </w:p>
        </w:tc>
        <w:tc>
          <w:tcPr>
            <w:tcW w:type="dxa" w:w="231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Recommendation</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Dispatch workstations missing current OS security patches</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High</w:t>
            </w:r>
          </w:p>
        </w:tc>
        <w:tc>
          <w:tcPr>
            <w:tcW w:type="dxa" w:w="2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Enable a monthly patch window with county IT</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No multifactor on remote access to the CAD vendor portal</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High</w:t>
            </w:r>
          </w:p>
        </w:tc>
        <w:tc>
          <w:tcPr>
            <w:tcW w:type="dxa" w:w="2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Turn on MFA through the CAD vendor</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Single ISP uplink; no failover for 9-1-1 delivery</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High</w:t>
            </w:r>
          </w:p>
        </w:tc>
        <w:tc>
          <w:tcPr>
            <w:tcW w:type="dxa" w:w="2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Price a cellular failover circuit</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F-04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Server closet shared and unlocked</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w:t>
            </w:r>
          </w:p>
        </w:tc>
        <w:tc>
          <w:tcPr>
            <w:tcW w:type="dxa" w:w="10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Low</w:t>
            </w:r>
          </w:p>
        </w:tc>
        <w:tc>
          <w:tcPr>
            <w:tcW w:type="dxa" w:w="2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Install a keyed lock; relocate supplies</w:t>
            </w:r>
          </w:p>
        </w:tc>
      </w:tr>
    </w:tbl>
    <w:p>
      <w:pPr>
        <w:pStyle w:val="Heading2"/>
      </w:pPr>
      <w:r>
        <w:t xml:space="preserve">5. Prioritization and Handoff</w:t>
      </w:r>
    </w:p>
    <w:p>
      <w:pPr>
        <w:spacing w:after="80"/>
      </w:pPr>
      <w:r>
        <w:rPr>
          <w:rFonts w:ascii="Aptos" w:cs="Aptos" w:eastAsia="Aptos" w:hAnsi="Aptos"/>
          <w:b w:val="false"/>
          <w:bCs w:val="false"/>
          <w:i w:val="false"/>
          <w:iCs w:val="false"/>
          <w:color w:val="000000"/>
          <w:sz w:val="24"/>
          <w:szCs w:val="24"/>
        </w:rPr>
        <w:t xml:space="preserve">Findings are prioritized by life-safety and service-continuity impact. Each open finding is entered into the Risk / Finding Register (POA&amp;M) for tracking to closure, and each material risk is recorded in the Risk Register with its treatment decision. This report does not track remediation; the POA&amp;M is the single source of truth for finding status.</w:t>
      </w:r>
    </w:p>
    <w:p>
      <w:pPr>
        <w:spacing w:after="80"/>
      </w:pPr>
      <w:r>
        <w:rPr>
          <w:rFonts w:ascii="Aptos" w:cs="Aptos" w:eastAsia="Aptos" w:hAnsi="Aptos"/>
          <w:b w:val="false"/>
          <w:bCs w:val="false"/>
          <w:i w:val="false"/>
          <w:iCs w:val="false"/>
          <w:color w:val="000000"/>
          <w:sz w:val="24"/>
          <w:szCs w:val="24"/>
        </w:rPr>
        <w:t xml:space="preserve">Prioritized for handoff: the life-safety findings first (MFA on remote access, the single uplink), then the remaining items in impact order.</w:t>
      </w:r>
    </w:p>
    <w:p>
      <w:pPr>
        <w:pStyle w:val="Heading2"/>
      </w:pPr>
      <w:r>
        <w:t xml:space="preserve">Profile Scaling Notes</w:t>
      </w:r>
    </w:p>
    <w:p>
      <w:pPr>
        <w:spacing w:after="80"/>
      </w:pPr>
      <w:r>
        <w:rPr>
          <w:rFonts w:ascii="Aptos" w:cs="Aptos" w:eastAsia="Aptos" w:hAnsi="Aptos"/>
          <w:b w:val="false"/>
          <w:bCs w:val="false"/>
          <w:i w:val="false"/>
          <w:iCs w:val="false"/>
          <w:color w:val="000000"/>
          <w:sz w:val="24"/>
          <w:szCs w:val="24"/>
        </w:rPr>
        <w:t xml:space="preserve">Hickory County 911 is a Small-profile PSAP. An annual interview-and-checklist assessment with county IT, scored manually on the three axes, is the minimum-viable approach; no scanning tool is required. The first capability to add is basic vulnerability scanning of the CAD and workstation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80"/>
            </w:pPr>
            <w:r>
              <w:rPr>
                <w:rFonts w:ascii="Aptos" w:cs="Aptos" w:eastAsia="Aptos" w:hAnsi="Aptos"/>
                <w:b w:val="false"/>
                <w:bCs w:val="false"/>
                <w:i/>
                <w:iCs/>
                <w:color w:val="595959"/>
                <w:sz w:val="24"/>
                <w:szCs w:val="24"/>
              </w:rPr>
              <w:t xml:space="preserve">List only the authorities that map to content in this artifact. Group by authority; order numerically. No padding.</w:t>
            </w:r>
          </w:p>
          <w:p>
            <w:pPr>
              <w:spacing w:after="20"/>
            </w:pPr>
            <w:r>
              <w:rPr>
                <w:rFonts w:ascii="Aptos" w:cs="Aptos" w:eastAsia="Aptos" w:hAnsi="Aptos"/>
                <w:b w:val="false"/>
                <w:bCs w:val="false"/>
                <w:i w:val="false"/>
                <w:iCs w:val="false"/>
                <w:color w:val="000000"/>
                <w:sz w:val="24"/>
                <w:szCs w:val="24"/>
              </w:rPr>
              <w:t xml:space="preserve">NENA-STA-040.2-2024: §4.2.1, §4.3, §4.3.1, §4.3.2, §5.2</w:t>
            </w:r>
          </w:p>
          <w:p>
            <w:pPr>
              <w:spacing w:after="20"/>
            </w:pPr>
            <w:r>
              <w:rPr>
                <w:rFonts w:ascii="Aptos" w:cs="Aptos" w:eastAsia="Aptos" w:hAnsi="Aptos"/>
                <w:b w:val="false"/>
                <w:bCs w:val="false"/>
                <w:i w:val="false"/>
                <w:iCs w:val="false"/>
                <w:color w:val="000000"/>
                <w:sz w:val="24"/>
                <w:szCs w:val="24"/>
              </w:rPr>
              <w:t xml:space="preserve">NIST SP 800-53 Rev. 5: CA-2, PE-13, PE-14, PE-15, PE-18, PM-9, RA-2, RA-3, RA-7</w:t>
            </w:r>
          </w:p>
        </w:tc>
      </w:tr>
    </w:tbl>
    <w:p>
      <w:pPr>
        <w:pStyle w:val="Heading2"/>
      </w:pPr>
      <w: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Director (assessor and reviewer)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2026-05-08</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2026-05-08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Initial issue; 2026 assessment cycle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68a5d3197f6fe6a60b4107c995a4f96b0943de.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0368a5d3197f6fe6a60b4107c995a4f96b0943de.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2026-06-04T20:32:00.571Z</dcterms:created>
  <dcterms:modified xsi:type="dcterms:W3CDTF">2026-06-04T20:32:00.571Z</dcterms:modified>
  <dc:title xmlns:dc="http://purl.org/dc/elements/1.1/">Risk Assessment Report - EXAMPLE - S</dc:title>
</cp:coreProperties>
</file>

<file path=docProps/custom.xml><?xml version="1.0" encoding="utf-8"?>
<Properties xmlns="http://schemas.openxmlformats.org/officeDocument/2006/custom-properties" xmlns:vt="http://schemas.openxmlformats.org/officeDocument/2006/docPropsVTypes"/>
</file>