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Board / Leadership Security Reporting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sz w:val="24"/>
              </w:rPr>
              <w:t xml:space="preserve">Reporting period: </w:t>
            </w:r>
            <w:r>
              <w:rPr>
                <w:rFonts w:ascii="Aptos" w:hAnsi="Aptos"/>
                <w:b w:val="0"/>
                <w:sz w:val="24"/>
              </w:rPr>
              <w:t xml:space="preserve">Calendar year 2025      </w:t>
            </w:r>
            <w:r>
              <w:rPr>
                <w:rFonts w:ascii="Aptos" w:hAnsi="Aptos"/>
                <w:b/>
                <w:sz w:val="24"/>
              </w:rPr>
              <w:t xml:space="preserve">Prepared by (role): </w:t>
            </w:r>
            <w:r>
              <w:rPr>
                <w:rFonts w:ascii="Aptos" w:hAnsi="Aptos"/>
                <w:b w:val="0"/>
                <w:sz w:val="24"/>
              </w:rPr>
              <w:t>Director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sz w:val="24"/>
              </w:rPr>
              <w:t xml:space="preserve">Audience: </w:t>
            </w:r>
            <w:r>
              <w:rPr>
                <w:rFonts w:ascii="Aptos" w:hAnsi="Aptos"/>
                <w:b w:val="0"/>
                <w:sz w:val="24"/>
              </w:rPr>
              <w:t>County board (Sheriff and Commissioners)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sz w:val="24"/>
              </w:rPr>
              <w:t xml:space="preserve">Owner: </w:t>
            </w:r>
            <w:r>
              <w:rPr>
                <w:rFonts w:ascii="Aptos" w:hAnsi="Aptos"/>
                <w:b w:val="0"/>
                <w:sz w:val="24"/>
              </w:rPr>
              <w:t>Director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sz w:val="24"/>
              </w:rPr>
              <w:t xml:space="preserve">Classification: </w:t>
            </w:r>
            <w:r>
              <w:rPr>
                <w:rFonts w:ascii="Aptos" w:hAnsi="Aptos"/>
                <w:b w:val="0"/>
                <w:sz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program completed its first full year. Two High-rated risks remain open: single-carrier 911 routing and an unpatched legacy workstation. The director asks the board to approve funding for a diverse routing option and the workstation replacement. No reportable cyber incidents occurred this period.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Program Status &amp;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300"/>
        <w:gridCol w:w="1300"/>
        <w:gridCol w:w="40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This Period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Trend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Open risks (by rating)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5 (3 High)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Flat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Single-carrier 911 routing is the top risk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Findings closed this period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Up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Closed from the POA&amp;M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Overdue remediation items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Flat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items on schedule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Training completion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100%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Up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5 of 5 staff completed awareness training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Reportable incidents this period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Flat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 IOT reports required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Open Risk Decisions / Items Requiring Leadership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800"/>
        <w:gridCol w:w="2000"/>
        <w:gridCol w:w="2200"/>
        <w:gridCol w:w="14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Risk / Finding ref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Decision needed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Recommended 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Owner (role)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Diverse 911 routing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RISK-001 / POA&amp;M-001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 funding?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Fund a second routing path with the ESInet provider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Legacy workstation replacement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RISK-002 / POA&amp;M-002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 purchase?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Replace the unpatched workstation this budget cycle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Open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400"/>
        <w:gridCol w:w="1600"/>
        <w:gridCol w:w="1500"/>
        <w:gridCol w:w="216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Finding ref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Due date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Owner (role)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POA&amp;M-002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progress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2026-05-15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POA&amp;M-005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2026-06-30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Reporting Cadence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report is produced annually for the county board, on the schedule set in the Governance Reporting Calendar. The reporting period and audience are recorded in the cover block above.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page. The director compiles open risks and overdue items from the registers and reports to the county board annually. Metrics can be counts, not charts.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§4.1.1, §4.3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PM-4, PM-6, PM-9, PM-15, RA-7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Prepared by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February 17,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Acknowledged by (Director / leadership)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February 17,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February 17,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Board / Leadership Security Reporting Template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