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Leadership Security Review Meeting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Adopted by Wabash Valley Communications under the authority of Anthony Reyes, Director.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1.0    Effective Date: February 24, 2026    Next Review: February 24, 2027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Restricted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24,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13:00 to 13:50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Wabash Valley Communications operations center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Quarterly Leadership Security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Anthony Reyes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Director, Wabash Valley Communications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Dana Mercer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(part-time)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Priya Nair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lead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Program status: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second year of the program; Risk Methodology Standard adopted; first formal risk assessment complete; SIEM tuning underway across both centers.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Metrics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no incidents this quarter; SIEM flagged three brute-force attempts on the VPN, all blocked; phishing click rate down to 6%.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Risks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highest risk is lateral movement between the two sites' networks; the segmentation project is funded for FY2026.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Threats / intelligence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regional ISAC advisory on ransomware targeting public safety; reviewed backup-restore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Approve the network segmentation project between the two centers in Q2.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Move quarterly phishing simulations to monthly for the next two quarters.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Scope the inter-site network segmentation project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31,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Stand up monthly phishing simulations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15,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May 26, 2026. Focus: segmentation project plan and phishing results.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3 years, stored on the Wabash Valley Communications secure file share.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CA-7, PM-1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Indiana statutes and administrative code: HEA 1169 (2021): annually update the cyber incident reporting contact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Recorded by (Security Coordinator)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February 24,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February 24,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24,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record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90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Leadership Security Review Meeting Minutes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