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Unauthorized Disclosure Response &amp; Notification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Dr. Lisa Park,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2026-01-20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2027-01-20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Information Security Analyst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responds to an unauthorized disclosure or spill of protected data: how it is detected, contained, investigated, and remediated, and how required notifications are made to regulators and affected individuals. It triggers from the Incident Response Plan for data-specific incidents.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the Information Security Analyst, the Director, and the IT team.</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containment, investigation, and remediation of an unauthorized disclosure of protected or CJIS-regulated data, and the notifications required by Indiana law and, where CJIS data is involved, CJIS reporting.</w:t>
      </w:r>
    </w:p>
    <w:p>
      <w:pPr>
        <w:pStyle w:val="ListParagraph"/>
        <w:numPr>
          <w:ilvl w:val="0"/>
          <w:numId w:val="2"/>
        </w:numPr>
        <w:spacing w:after="60"/>
      </w:pPr>
      <w:r>
        <w:rPr>
          <w:rFonts w:ascii="Aptos" w:cs="Aptos" w:eastAsia="Aptos" w:hAnsi="Aptos"/>
          <w:b w:val="false"/>
          <w:bCs w:val="false"/>
          <w:i w:val="false"/>
          <w:iCs w:val="false"/>
          <w:sz w:val="24"/>
          <w:szCs w:val="24"/>
        </w:rPr>
        <w:t>Excludes: incidents with no data disclosure, which follow the Incident Response Plan, and public communications, which the Director owns.</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Data Classification Policy defines what data is protected and what counts as a reportable disclosure.</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notification contacts: the Indiana Office of Technology, the Indiana Attorney General, and, where CJIS data is involved, the CJIS Systems Officer through IDACS.</w:t>
      </w:r>
    </w:p>
    <w:p>
      <w:pPr>
        <w:pStyle w:val="ListParagraph"/>
        <w:numPr>
          <w:ilvl w:val="0"/>
          <w:numId w:val="3"/>
        </w:numPr>
        <w:spacing w:after="60"/>
      </w:pPr>
      <w:r>
        <w:rPr>
          <w:rFonts w:ascii="Aptos" w:cs="Aptos" w:eastAsia="Aptos" w:hAnsi="Aptos"/>
          <w:b w:val="false"/>
          <w:bCs w:val="false"/>
          <w:i w:val="false"/>
          <w:iCs w:val="false"/>
          <w:sz w:val="24"/>
          <w:szCs w:val="24"/>
        </w:rPr>
        <w:t xml:space="preserve">A way to determine the number of Indiana residents affected, which sets the Attorney General notification threshold.</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and confirm: confirm that protected data was disclosed to or accessed by someone without authorization, and classify the data involved using the Data Classification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stop the ongoing disclosure (revoke access, recall or delete the data, close the exposure) and preserve evidence per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team</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Investigate: determine what data, whose data, how much, and how it happened, and record it in the Incident Log /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notification duties: determine which notifications apply and their deadlines using the Notification Requirements below.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make each required notification within its deadline and keep proof of each.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Remediate and close: fix the cause, record corrective actions, and feed them to the Risk Register and the After-Action Reports.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The disclosure was contained, the affected data and residents were identified, every required notification was made within its statutory deadline with proof retained, and corrective actions were recorded and tracked to closure.</w:t>
      </w:r>
    </w:p>
    <w:p>
      <w:pPr>
        <w:pStyle w:val="Heading2"/>
        <w:spacing w:after="100" w:before="220"/>
      </w:pPr>
      <w:r>
        <w:rPr>
          <w:rFonts w:ascii="Aptos" w:cs="Aptos" w:eastAsia="Aptos" w:hAnsi="Aptos"/>
          <w:b/>
          <w:bCs/>
          <w:color w:val="1B3A5C"/>
          <w:sz w:val="26"/>
          <w:szCs w:val="26"/>
        </w:rPr>
        <w:t xml:space="preserve">6.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 / trigger</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Office of Technology (IOT)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incident report portal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Within 2 business days of a cybersecurity incident (HEA 1169)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Attorney General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Written notice to the Attorney General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more than 500 Indiana residents are affected, without unreasonable delay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Affected Indiana residents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Written notice to each resident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Without unreasonable delay after discovery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Systems Officer (via IDACS)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CSO via IDACS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CJIS-regulated data is disclosed, per CJIS Security Policy</w:t>
            </w:r>
          </w:p>
        </w:tc>
      </w:tr>
    </w:tbl>
    <w:p>
      <w:pPr>
        <w:spacing w:after="60"/>
      </w:pPr>
    </w:p>
    <w:p>
      <w:pPr>
        <w:pStyle w:val="Heading2"/>
        <w:spacing w:after="100" w:before="220"/>
      </w:pPr>
      <w:r>
        <w:rPr>
          <w:rFonts w:ascii="Aptos" w:cs="Aptos" w:eastAsia="Aptos" w:hAnsi="Aptos"/>
          <w:b/>
          <w:bCs/>
          <w:color w:val="1B3A5C"/>
          <w:sz w:val="26"/>
          <w:szCs w:val="26"/>
        </w:rPr>
        <w:t xml:space="preserve">7. Related Documents</w:t>
      </w:r>
    </w:p>
    <w:p>
      <w:pPr>
        <w:spacing w:after="120" w:before="0"/>
      </w:pPr>
      <w:r>
        <w:rPr>
          <w:rFonts w:ascii="Aptos" w:cs="Aptos" w:eastAsia="Aptos" w:hAnsi="Aptos"/>
          <w:b w:val="false"/>
          <w:bCs w:val="false"/>
          <w:i w:val="false"/>
          <w:iCs w:val="false"/>
          <w:sz w:val="24"/>
          <w:szCs w:val="24"/>
        </w:rPr>
        <w:t xml:space="preserve">Incident Response Plan; Data Classification Policy; Evidence Collection &amp; Chain-of-Custody Procedures; Incident Log / Register; Risk Register; After-Action Reports.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role runs containment and investigation, legal reviews the notification duties, and the director notifies within each statutory deadline, with proof retained.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§5.6.5 (Incident Response)</w:t>
            </w:r>
          </w:p>
          <w:p>
            <w:pPr>
              <w:spacing w:after="40" w:before="0"/>
            </w:pPr>
            <w:r>
              <w:rPr>
                <w:rFonts w:ascii="Aptos" w:cs="Aptos" w:eastAsia="Aptos" w:hAnsi="Aptos"/>
                <w:bCs w:val="false"/>
                <w:iCs w:val="false"/>
                <w:sz w:val="24"/>
                <w:szCs w:val="24"/>
              </w:rPr>
              <w:t xml:space="preserve">NIST SP 800-53 Rev. 5: IR-4, IR-6</w:t>
            </w:r>
          </w:p>
          <w:p>
            <w:pPr>
              <w:spacing w:after="40" w:before="0"/>
            </w:pPr>
            <w:r>
              <w:rPr>
                <w:rFonts w:ascii="Aptos" w:cs="Aptos" w:eastAsia="Aptos" w:hAnsi="Aptos"/>
                <w:bCs w:val="false"/>
                <w:iCs w:val="false"/>
                <w:sz w:val="24"/>
                <w:szCs w:val="24"/>
              </w:rPr>
              <w:t xml:space="preserve">Indiana statutes and administrative code: HEA 1169 (2021), cyber incident reporting to IOT; IC 24-4.9, data breach notification to the Indiana Attorney General and affected residents</w:t>
            </w:r>
          </w:p>
          <w:p>
            <w:pPr>
              <w:spacing w:after="40" w:before="0"/>
            </w:pPr>
            <w:r>
              <w:rPr>
                <w:rFonts w:ascii="Aptos" w:cs="Aptos" w:eastAsia="Aptos" w:hAnsi="Aptos"/>
                <w:bCs w:val="false"/>
                <w:iCs w:val="false"/>
                <w:sz w:val="24"/>
                <w:szCs w:val="24"/>
              </w:rPr>
              <w:t xml:space="preserve">CJIS Security Policy v5.9: §5.3 (Incident Response) (if CJIS-regulated data is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regional-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Unauthorized Disclosure Response &amp; Notification Procedures - EXAMPLE - L</dc:title>
</cp:coreProperties>
</file>

<file path=docProps/custom.xml><?xml version="1.0" encoding="utf-8"?>
<Properties xmlns="http://schemas.openxmlformats.org/officeDocument/2006/custom-properties" xmlns:vt="http://schemas.openxmlformats.org/officeDocument/2006/docPropsVTypes"/>
</file>