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color w:val="1B3A5C"/>
          <w:sz w:val="40"/>
          <w:szCs w:val="40"/>
        </w:rPr>
        <w:t xml:space="preserve">Unauthorized Disclosure Response &amp; Notification Procedures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sz w:val="24"/>
                <w:szCs w:val="24"/>
              </w:rPr>
              <w:t xml:space="preserve">Authority: </w:t>
            </w:r>
            <w:r>
              <w:rPr>
                <w:rFonts w:ascii="Aptos" w:cs="Aptos" w:eastAsia="Aptos" w:hAnsi="Aptos"/>
                <w:b w:val="false"/>
                <w:bCs w:val="false"/>
                <w:i w:val="false"/>
                <w:iCs w:val="false"/>
                <w:sz w:val="24"/>
                <w:szCs w:val="24"/>
              </w:rPr>
              <w:t xml:space="preserve">Adopted by </w:t>
            </w:r>
            <w:r>
              <w:rPr>
                <w:rFonts w:ascii="Aptos" w:cs="Aptos" w:eastAsia="Aptos" w:hAnsi="Aptos"/>
                <w:i w:val="false"/>
                <w:iCs w:val="false"/>
                <w:sz w:val="24"/>
                <w:szCs w:val="24"/>
              </w:rPr>
              <w:t>Hickory County 911</w:t>
            </w:r>
            <w:r>
              <w:rPr>
                <w:rFonts w:ascii="Aptos" w:cs="Aptos" w:eastAsia="Aptos" w:hAnsi="Aptos"/>
                <w:b w:val="false"/>
                <w:bCs w:val="false"/>
                <w:i w:val="false"/>
                <w:iCs w:val="false"/>
                <w:sz w:val="24"/>
                <w:szCs w:val="24"/>
              </w:rPr>
              <w:t xml:space="preserve"> under the authority of </w:t>
            </w:r>
            <w:r>
              <w:rPr>
                <w:rFonts w:ascii="Aptos" w:cs="Aptos" w:eastAsia="Aptos" w:hAnsi="Aptos"/>
                <w:i w:val="false"/>
                <w:iCs w:val="false"/>
                <w:sz w:val="24"/>
                <w:szCs w:val="24"/>
              </w:rPr>
              <w:t>Tracy Holloway, Director</w:t>
            </w:r>
            <w:r>
              <w:rPr>
                <w:rFonts w:ascii="Aptos" w:cs="Aptos" w:eastAsia="Aptos" w:hAnsi="Aptos"/>
                <w:b w:val="false"/>
                <w:bCs w:val="false"/>
                <w:i w:val="false"/>
                <w:iCs w:val="false"/>
                <w:sz w:val="24"/>
                <w:szCs w:val="24"/>
              </w:rPr>
              <w:t xml:space="preserve">.</w:t>
            </w:r>
          </w:p>
          <w:p>
            <w:pPr>
              <w:spacing w:after="60"/>
            </w:pPr>
            <w:r>
              <w:rPr>
                <w:rFonts w:ascii="Aptos" w:cs="Aptos" w:eastAsia="Aptos" w:hAnsi="Aptos"/>
                <w:b/>
                <w:bCs/>
                <w:i w:val="false"/>
                <w:iCs w:val="false"/>
                <w:sz w:val="24"/>
                <w:szCs w:val="24"/>
              </w:rPr>
              <w:t xml:space="preserve">Version: </w:t>
            </w:r>
            <w:r>
              <w:rPr>
                <w:rFonts w:ascii="Aptos" w:cs="Aptos" w:eastAsia="Aptos" w:hAnsi="Aptos"/>
                <w:b w:val="false"/>
                <w:bCs w:val="false"/>
                <w:i w:val="false"/>
                <w:iCs w:val="false"/>
                <w:sz w:val="24"/>
                <w:szCs w:val="24"/>
              </w:rPr>
              <w:t xml:space="preserve">1.0    </w:t>
            </w:r>
            <w:r>
              <w:rPr>
                <w:rFonts w:ascii="Aptos" w:cs="Aptos" w:eastAsia="Aptos" w:hAnsi="Aptos"/>
                <w:b/>
                <w:bCs/>
                <w:i w:val="false"/>
                <w:iCs w:val="false"/>
                <w:sz w:val="24"/>
                <w:szCs w:val="24"/>
              </w:rPr>
              <w:t xml:space="preserve">Effective Date: </w:t>
            </w:r>
            <w:r>
              <w:rPr>
                <w:rFonts w:ascii="Aptos" w:cs="Aptos" w:eastAsia="Aptos" w:hAnsi="Aptos"/>
                <w:b w:val="false"/>
                <w:bCs w:val="false"/>
                <w:i w:val="false"/>
                <w:iCs w:val="false"/>
                <w:sz w:val="24"/>
                <w:szCs w:val="24"/>
              </w:rPr>
              <w:t xml:space="preserve">2026-02-10    </w:t>
            </w:r>
            <w:r>
              <w:rPr>
                <w:rFonts w:ascii="Aptos" w:cs="Aptos" w:eastAsia="Aptos" w:hAnsi="Aptos"/>
                <w:b/>
                <w:bCs/>
                <w:i w:val="false"/>
                <w:iCs w:val="false"/>
                <w:sz w:val="24"/>
                <w:szCs w:val="24"/>
              </w:rPr>
              <w:t xml:space="preserve">Next Review: </w:t>
            </w:r>
            <w:r>
              <w:rPr>
                <w:rFonts w:ascii="Aptos" w:cs="Aptos" w:eastAsia="Aptos" w:hAnsi="Aptos"/>
                <w:b w:val="false"/>
                <w:bCs w:val="false"/>
                <w:i w:val="false"/>
                <w:iCs w:val="false"/>
                <w:sz w:val="24"/>
                <w:szCs w:val="24"/>
              </w:rPr>
              <w:t>2027-02-10</w:t>
            </w:r>
          </w:p>
          <w:p>
            <w:pPr>
              <w:spacing w:after="60"/>
            </w:pPr>
            <w:r>
              <w:rPr>
                <w:rFonts w:ascii="Aptos" w:cs="Aptos" w:eastAsia="Aptos" w:hAnsi="Aptos"/>
                <w:b/>
                <w:bCs/>
                <w:i w:val="false"/>
                <w:iCs w:val="false"/>
                <w:sz w:val="24"/>
                <w:szCs w:val="24"/>
              </w:rPr>
              <w:t xml:space="preserve">Owner: </w:t>
            </w:r>
            <w:r>
              <w:rPr>
                <w:rFonts w:ascii="Aptos" w:cs="Aptos" w:eastAsia="Aptos" w:hAnsi="Aptos"/>
                <w:b w:val="false"/>
                <w:bCs w:val="false"/>
                <w:i w:val="false"/>
                <w:iCs w:val="false"/>
                <w:sz w:val="24"/>
                <w:szCs w:val="24"/>
              </w:rPr>
              <w:t xml:space="preserve">Director   </w:t>
            </w:r>
            <w:r>
              <w:rPr>
                <w:rFonts w:ascii="Aptos" w:cs="Aptos" w:eastAsia="Aptos" w:hAnsi="Aptos"/>
                <w:b w:val="false"/>
                <w:bCs w:val="false"/>
                <w:i/>
                <w:iCs/>
                <w:color w:val="595959"/>
                <w:sz w:val="24"/>
                <w:szCs w:val="24"/>
              </w:rPr>
            </w:r>
          </w:p>
          <w:p>
            <w:pPr>
              <w:spacing w:after="20"/>
            </w:pPr>
            <w:r>
              <w:rPr>
                <w:rFonts w:ascii="Aptos" w:cs="Aptos" w:eastAsia="Aptos" w:hAnsi="Aptos"/>
                <w:b/>
                <w:bCs/>
                <w:i w:val="false"/>
                <w:iCs w:val="false"/>
                <w:sz w:val="24"/>
                <w:szCs w:val="24"/>
              </w:rPr>
              <w:t xml:space="preserve">Classification: </w:t>
            </w:r>
            <w:r>
              <w:rPr>
                <w:rFonts w:ascii="Aptos" w:cs="Aptos" w:eastAsia="Aptos" w:hAnsi="Aptos"/>
                <w:b w:val="false"/>
                <w:bCs w:val="false"/>
                <w:i w:val="false"/>
                <w:iCs w:val="false"/>
                <w:sz w:val="24"/>
                <w:szCs w:val="24"/>
              </w:rPr>
              <w:t>Restricted</w:t>
            </w:r>
          </w:p>
        </w:tc>
      </w:tr>
    </w:tbl>
    <w:p>
      <w:pPr>
        <w:spacing w:after="60"/>
      </w:pPr>
    </w:p>
    <w:p>
      <w:pPr>
        <w:pStyle w:val="Heading2"/>
        <w:spacing w:after="100" w:before="220"/>
      </w:pPr>
      <w:r>
        <w:rPr>
          <w:rFonts w:ascii="Aptos" w:cs="Aptos" w:eastAsia="Aptos" w:hAnsi="Aptos"/>
          <w:b/>
          <w:bCs/>
          <w:color w:val="1B3A5C"/>
          <w:sz w:val="26"/>
          <w:szCs w:val="26"/>
        </w:rPr>
        <w:t xml:space="preserve">1. Purpose</w:t>
      </w:r>
    </w:p>
    <w:p>
      <w:pPr>
        <w:spacing w:after="120" w:before="0"/>
      </w:pPr>
      <w:r>
        <w:rPr>
          <w:rFonts w:ascii="Aptos" w:cs="Aptos" w:eastAsia="Aptos" w:hAnsi="Aptos"/>
          <w:b w:val="false"/>
          <w:bCs w:val="false"/>
          <w:i w:val="false"/>
          <w:iCs w:val="false"/>
          <w:sz w:val="24"/>
          <w:szCs w:val="24"/>
        </w:rPr>
        <w:t xml:space="preserve">This procedure defines how the Agency responds to an unauthorized disclosure or spill of protected data: how it is detected, contained, investigated, and remediated, and how required notifications are made to regulators and affected individuals. It triggers from the Incident Response Plan for data-specific incidents.</w:t>
      </w:r>
    </w:p>
    <w:p>
      <w:pPr>
        <w:pStyle w:val="Heading2"/>
        <w:spacing w:after="100" w:before="220"/>
      </w:pPr>
      <w:r>
        <w:rPr>
          <w:rFonts w:ascii="Aptos" w:cs="Aptos" w:eastAsia="Aptos" w:hAnsi="Aptos"/>
          <w:b/>
          <w:bCs/>
          <w:color w:val="1B3A5C"/>
          <w:sz w:val="26"/>
          <w:szCs w:val="26"/>
        </w:rPr>
        <w:t xml:space="preserve">2. Scope</w:t>
      </w:r>
    </w:p>
    <w:p>
      <w:pPr>
        <w:pStyle w:val="ListParagraph"/>
        <w:numPr>
          <w:ilvl w:val="0"/>
          <w:numId w:val="2"/>
        </w:numPr>
        <w:spacing w:after="60"/>
      </w:pPr>
      <w:r>
        <w:rPr>
          <w:rFonts w:ascii="Aptos" w:cs="Aptos" w:eastAsia="Aptos" w:hAnsi="Aptos"/>
          <w:b w:val="false"/>
          <w:bCs w:val="false"/>
          <w:i w:val="false"/>
          <w:iCs w:val="false"/>
          <w:sz w:val="24"/>
          <w:szCs w:val="24"/>
        </w:rPr>
        <w:t>Applies to: the Director and County IT.</w:t>
      </w:r>
    </w:p>
    <w:p>
      <w:pPr>
        <w:pStyle w:val="ListParagraph"/>
        <w:numPr>
          <w:ilvl w:val="0"/>
          <w:numId w:val="2"/>
        </w:numPr>
        <w:spacing w:after="60"/>
      </w:pPr>
      <w:r>
        <w:rPr>
          <w:rFonts w:ascii="Aptos" w:cs="Aptos" w:eastAsia="Aptos" w:hAnsi="Aptos"/>
          <w:b w:val="false"/>
          <w:bCs w:val="false"/>
          <w:i w:val="false"/>
          <w:iCs w:val="false"/>
          <w:sz w:val="24"/>
          <w:szCs w:val="24"/>
        </w:rPr>
        <w:t xml:space="preserve">Covers: detection, containment, investigation, and remediation of an unauthorized disclosure of protected or CJIS-regulated data, and the notifications required by Indiana law and, where CJIS data is involved, CJIS reporting.</w:t>
      </w:r>
    </w:p>
    <w:p>
      <w:pPr>
        <w:pStyle w:val="ListParagraph"/>
        <w:numPr>
          <w:ilvl w:val="0"/>
          <w:numId w:val="2"/>
        </w:numPr>
        <w:spacing w:after="60"/>
      </w:pPr>
      <w:r>
        <w:rPr>
          <w:rFonts w:ascii="Aptos" w:cs="Aptos" w:eastAsia="Aptos" w:hAnsi="Aptos"/>
          <w:b w:val="false"/>
          <w:bCs w:val="false"/>
          <w:i w:val="false"/>
          <w:iCs w:val="false"/>
          <w:sz w:val="24"/>
          <w:szCs w:val="24"/>
        </w:rPr>
        <w:t>Excludes: incidents with no data disclosure, which follow the Incident Response Plan, and public communications, which the Director owns.</w:t>
      </w:r>
    </w:p>
    <w:p>
      <w:pPr>
        <w:pStyle w:val="Heading2"/>
        <w:spacing w:after="100" w:before="220"/>
      </w:pPr>
      <w:r>
        <w:rPr>
          <w:rFonts w:ascii="Aptos" w:cs="Aptos" w:eastAsia="Aptos" w:hAnsi="Aptos"/>
          <w:b/>
          <w:bCs/>
          <w:color w:val="1B3A5C"/>
          <w:sz w:val="26"/>
          <w:szCs w:val="26"/>
        </w:rPr>
        <w:t xml:space="preserve">3. Prerequisites</w:t>
      </w:r>
    </w:p>
    <w:p>
      <w:pPr>
        <w:pStyle w:val="ListParagraph"/>
        <w:numPr>
          <w:ilvl w:val="0"/>
          <w:numId w:val="3"/>
        </w:numPr>
        <w:spacing w:after="60"/>
      </w:pPr>
      <w:r>
        <w:rPr>
          <w:rFonts w:ascii="Aptos" w:cs="Aptos" w:eastAsia="Aptos" w:hAnsi="Aptos"/>
          <w:b w:val="false"/>
          <w:bCs w:val="false"/>
          <w:i w:val="false"/>
          <w:iCs w:val="false"/>
          <w:sz w:val="24"/>
          <w:szCs w:val="24"/>
        </w:rPr>
        <w:t xml:space="preserve">The Data Classification Policy defines what data is protected and what counts as a reportable disclosure.</w:t>
      </w:r>
    </w:p>
    <w:p>
      <w:pPr>
        <w:pStyle w:val="ListParagraph"/>
        <w:numPr>
          <w:ilvl w:val="0"/>
          <w:numId w:val="3"/>
        </w:numPr>
        <w:spacing w:after="60"/>
      </w:pPr>
      <w:r>
        <w:rPr>
          <w:rFonts w:ascii="Aptos" w:cs="Aptos" w:eastAsia="Aptos" w:hAnsi="Aptos"/>
          <w:b w:val="false"/>
          <w:bCs w:val="false"/>
          <w:i w:val="false"/>
          <w:iCs w:val="false"/>
          <w:sz w:val="24"/>
          <w:szCs w:val="24"/>
        </w:rPr>
        <w:t xml:space="preserve">Current notification contacts: the Indiana Office of Technology, the Indiana Attorney General, and, where CJIS data is involved, the CJIS Systems Officer through IDACS.</w:t>
      </w:r>
    </w:p>
    <w:p>
      <w:pPr>
        <w:pStyle w:val="ListParagraph"/>
        <w:numPr>
          <w:ilvl w:val="0"/>
          <w:numId w:val="3"/>
        </w:numPr>
        <w:spacing w:after="60"/>
      </w:pPr>
      <w:r>
        <w:rPr>
          <w:rFonts w:ascii="Aptos" w:cs="Aptos" w:eastAsia="Aptos" w:hAnsi="Aptos"/>
          <w:b w:val="false"/>
          <w:bCs w:val="false"/>
          <w:i w:val="false"/>
          <w:iCs w:val="false"/>
          <w:sz w:val="24"/>
          <w:szCs w:val="24"/>
        </w:rPr>
        <w:t xml:space="preserve">A way to determine the number of Indiana residents affected, which sets the Attorney General notification threshold.</w:t>
      </w:r>
    </w:p>
    <w:p>
      <w:pPr>
        <w:pStyle w:val="Heading2"/>
        <w:spacing w:after="100" w:before="220"/>
      </w:pPr>
      <w:r>
        <w:rPr>
          <w:rFonts w:ascii="Aptos" w:cs="Aptos" w:eastAsia="Aptos" w:hAnsi="Aptos"/>
          <w:b/>
          <w:bCs/>
          <w:color w:val="1B3A5C"/>
          <w:sz w:val="26"/>
          <w:szCs w:val="26"/>
        </w:rPr>
        <w:t xml:space="preserve">4. Procedure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5860"/>
        <w:gridCol w:w="2400"/>
      </w:tblGrid>
      <w:tr>
        <w:trPr>
          <w:cantSplit/>
          <w:tblHeader/>
        </w:trPr>
        <w:tc>
          <w:tcPr>
            <w:tcW w:type="dxa" w:w="11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Step</w:t>
            </w:r>
          </w:p>
        </w:tc>
        <w:tc>
          <w:tcPr>
            <w:tcW w:type="dxa" w:w="58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Action</w:t>
            </w:r>
          </w:p>
        </w:tc>
        <w:tc>
          <w:tcPr>
            <w:tcW w:type="dxa" w:w="2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Responsible role</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1</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Detect and confirm: confirm that protected data was disclosed to or accessed by someone without authorization, and classify the data involved using the Data Classification Policy.</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Director</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2</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Contain: stop the ongoing disclosure (revoke access, recall or delete the data, close the exposure) and preserve evidence per the Evidence Collection &amp; Chain-of-Custody Procedures.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County IT</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3</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Investigate: determine what data, whose data, how much, and how it happened, and record it in the Incident Log / Register.</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Director</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4</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Assess notification duties: determine which notifications apply and their deadlines using the Notification Requirements below.</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Director</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5</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Notify: make each required notification within its deadline and keep proof of each.</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Director</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6</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Remediate and close: fix the cause, record corrective actions, and feed them to the Risk Register and the After-Action Reports.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Director</w:t>
            </w:r>
          </w:p>
        </w:tc>
      </w:tr>
    </w:tbl>
    <w:p>
      <w:pPr>
        <w:pStyle w:val="Heading2"/>
        <w:spacing w:after="100" w:before="220"/>
      </w:pPr>
      <w:r>
        <w:rPr>
          <w:rFonts w:ascii="Aptos" w:cs="Aptos" w:eastAsia="Aptos" w:hAnsi="Aptos"/>
          <w:b/>
          <w:bCs/>
          <w:color w:val="1B3A5C"/>
          <w:sz w:val="26"/>
          <w:szCs w:val="26"/>
        </w:rPr>
        <w:t xml:space="preserve">5. Verification Criteria</w:t>
      </w:r>
    </w:p>
    <w:p>
      <w:pPr>
        <w:spacing w:after="120" w:before="0"/>
      </w:pPr>
      <w:r>
        <w:rPr>
          <w:rFonts w:ascii="Aptos" w:cs="Aptos" w:eastAsia="Aptos" w:hAnsi="Aptos"/>
          <w:b w:val="false"/>
          <w:bCs w:val="false"/>
          <w:i w:val="false"/>
          <w:iCs w:val="false"/>
          <w:sz w:val="24"/>
          <w:szCs w:val="24"/>
        </w:rPr>
        <w:t xml:space="preserve">The disclosure was contained, the affected data and residents were identified, every required notification was made within its statutory deadline with proof retained, and corrective actions were recorded and tracked to closure.</w:t>
      </w:r>
    </w:p>
    <w:p>
      <w:pPr>
        <w:pStyle w:val="Heading2"/>
        <w:spacing w:after="100" w:before="220"/>
      </w:pPr>
      <w:r>
        <w:rPr>
          <w:rFonts w:ascii="Aptos" w:cs="Aptos" w:eastAsia="Aptos" w:hAnsi="Aptos"/>
          <w:b/>
          <w:bCs/>
          <w:color w:val="1B3A5C"/>
          <w:sz w:val="26"/>
          <w:szCs w:val="26"/>
        </w:rPr>
        <w:t xml:space="preserve">6. Notification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cantSplit/>
          <w:tblHeader/>
        </w:trPr>
        <w:tc>
          <w:tcPr>
            <w:tcW w:type="dxa" w:w="234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Audience</w:t>
            </w:r>
          </w:p>
        </w:tc>
        <w:tc>
          <w:tcPr>
            <w:tcW w:type="dxa" w:w="234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Who notifies</w:t>
            </w:r>
          </w:p>
        </w:tc>
        <w:tc>
          <w:tcPr>
            <w:tcW w:type="dxa" w:w="234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Channel</w:t>
            </w:r>
          </w:p>
        </w:tc>
        <w:tc>
          <w:tcPr>
            <w:tcW w:type="dxa" w:w="234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Timeframe / trigger</w:t>
            </w:r>
          </w:p>
        </w:tc>
      </w:tr>
      <w:tr>
        <w:trPr>
          <w:cantSplit/>
        </w:trP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Indiana Office of Technology (IOT)</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Director</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IOT incident report portal</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Within 2 business days of a cybersecurity incident (HEA 1169)</w:t>
            </w:r>
          </w:p>
        </w:tc>
      </w:tr>
      <w:tr>
        <w:trPr>
          <w:cantSplit/>
        </w:trP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Indiana Attorney General</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Director</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Written notice to the Attorney General</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When more than 500 Indiana residents are affected, without unreasonable delay (IC 24-4.9)</w:t>
            </w:r>
          </w:p>
        </w:tc>
      </w:tr>
      <w:tr>
        <w:trPr>
          <w:cantSplit/>
        </w:trP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Affected Indiana residents</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Director</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Written notice to each resident</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Without unreasonable delay after discovery (IC 24-4.9)</w:t>
            </w:r>
          </w:p>
        </w:tc>
      </w:tr>
      <w:tr>
        <w:trPr>
          <w:cantSplit/>
        </w:trP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CJIS Systems Officer (via IDACS)</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Director</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CSO via IDACS</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When CJIS-regulated data is disclosed, per CJIS Security Policy</w:t>
            </w:r>
          </w:p>
        </w:tc>
      </w:tr>
    </w:tbl>
    <w:p>
      <w:pPr>
        <w:spacing w:after="60"/>
      </w:pPr>
    </w:p>
    <w:p>
      <w:pPr>
        <w:pStyle w:val="Heading2"/>
        <w:spacing w:after="100" w:before="220"/>
      </w:pPr>
      <w:r>
        <w:rPr>
          <w:rFonts w:ascii="Aptos" w:cs="Aptos" w:eastAsia="Aptos" w:hAnsi="Aptos"/>
          <w:b/>
          <w:bCs/>
          <w:color w:val="1B3A5C"/>
          <w:sz w:val="26"/>
          <w:szCs w:val="26"/>
        </w:rPr>
        <w:t xml:space="preserve">7. Related Documents</w:t>
      </w:r>
    </w:p>
    <w:p>
      <w:pPr>
        <w:spacing w:after="120" w:before="0"/>
      </w:pPr>
      <w:r>
        <w:rPr>
          <w:rFonts w:ascii="Aptos" w:cs="Aptos" w:eastAsia="Aptos" w:hAnsi="Aptos"/>
          <w:b w:val="false"/>
          <w:bCs w:val="false"/>
          <w:i w:val="false"/>
          <w:iCs w:val="false"/>
          <w:sz w:val="24"/>
          <w:szCs w:val="24"/>
        </w:rPr>
        <w:t xml:space="preserve">Incident Response Plan; Data Classification Policy; Evidence Collection &amp; Chain-of-Custody Procedures; Incident Log / Register; Risk Register; After-Action Reports.</w:t>
      </w:r>
    </w:p>
    <w:p>
      <w:pPr>
        <w:pStyle w:val="Heading2"/>
        <w:spacing w:after="100" w:before="220"/>
      </w:pPr>
      <w:r>
        <w:rPr>
          <w:rFonts w:ascii="Aptos" w:cs="Aptos" w:eastAsia="Aptos" w:hAnsi="Aptos"/>
          <w:b/>
          <w:bCs/>
          <w:color w:val="1B3A5C"/>
          <w:sz w:val="26"/>
          <w:szCs w:val="26"/>
        </w:rPr>
        <w:t xml:space="preserve">Profile Scaling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PSAP Profile</w:t>
            </w:r>
          </w:p>
        </w:tc>
        <w:tc>
          <w:tcPr>
            <w:tcW w:type="dxa" w:w="6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Minimum-viable implementation</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Small (1–5 dispatchers, no in-house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The director runs the response with county or vendor IT: contain the exposure, work out whose data and how many Indiana residents, and make the notifications. Keep the IOT and Attorney General contact details on hand and a simple record of what was sent and when.</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Source Authority</w:t>
            </w:r>
          </w:p>
          <w:p>
            <w:pPr>
              <w:spacing w:after="40" w:before="0"/>
            </w:pPr>
            <w:r>
              <w:rPr>
                <w:rFonts w:ascii="Aptos" w:cs="Aptos" w:eastAsia="Aptos" w:hAnsi="Aptos"/>
                <w:bCs w:val="false"/>
                <w:iCs w:val="false"/>
                <w:sz w:val="24"/>
                <w:szCs w:val="24"/>
              </w:rPr>
              <w:t xml:space="preserve">NENA-STA-040.2-2024: §5.6.5 (Incident Response)</w:t>
            </w:r>
          </w:p>
          <w:p>
            <w:pPr>
              <w:spacing w:after="40" w:before="0"/>
            </w:pPr>
            <w:r>
              <w:rPr>
                <w:rFonts w:ascii="Aptos" w:cs="Aptos" w:eastAsia="Aptos" w:hAnsi="Aptos"/>
                <w:bCs w:val="false"/>
                <w:iCs w:val="false"/>
                <w:sz w:val="24"/>
                <w:szCs w:val="24"/>
              </w:rPr>
              <w:t xml:space="preserve">NIST SP 800-53 Rev. 5: IR-4, IR-6</w:t>
            </w:r>
          </w:p>
          <w:p>
            <w:pPr>
              <w:spacing w:after="40" w:before="0"/>
            </w:pPr>
            <w:r>
              <w:rPr>
                <w:rFonts w:ascii="Aptos" w:cs="Aptos" w:eastAsia="Aptos" w:hAnsi="Aptos"/>
                <w:bCs w:val="false"/>
                <w:iCs w:val="false"/>
                <w:sz w:val="24"/>
                <w:szCs w:val="24"/>
              </w:rPr>
              <w:t xml:space="preserve">Indiana statutes and administrative code: HEA 1169 (2021), cyber incident reporting to IOT; IC 24-4.9, data breach notification to the Indiana Attorney General and affected residents</w:t>
            </w:r>
          </w:p>
          <w:p>
            <w:pPr>
              <w:spacing w:after="40" w:before="0"/>
            </w:pPr>
            <w:r>
              <w:rPr>
                <w:rFonts w:ascii="Aptos" w:cs="Aptos" w:eastAsia="Aptos" w:hAnsi="Aptos"/>
                <w:bCs w:val="false"/>
                <w:iCs w:val="false"/>
                <w:sz w:val="24"/>
                <w:szCs w:val="24"/>
              </w:rPr>
              <w:t xml:space="preserve">CJIS Security Policy v5.9: §5.3 (Incident Response) (if CJIS-regulated data is in scope, via IDACS)</w:t>
            </w:r>
          </w:p>
        </w:tc>
      </w:tr>
    </w:tbl>
    <w:p>
      <w:pPr>
        <w:pStyle w:val="Heading2"/>
        <w:spacing w:after="100" w:before="220"/>
      </w:pPr>
      <w:r>
        <w:rPr>
          <w:rFonts w:ascii="Aptos" w:cs="Aptos" w:eastAsia="Aptos" w:hAnsi="Aptos"/>
          <w:b/>
          <w:bCs/>
          <w:color w:val="1B3A5C"/>
          <w:sz w:val="26"/>
          <w:szCs w:val="26"/>
        </w:rPr>
        <w:t xml:space="preserve">Approval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60"/>
        <w:gridCol w:w="2600"/>
        <w:gridCol w:w="140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2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Name</w:t>
            </w:r>
          </w:p>
        </w:tc>
        <w:tc>
          <w:tcPr>
            <w:tcW w:type="dxa" w:w="2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Signature</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Director</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Tracy Holloway</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 Tracy Holloway</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2026-02-10</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Director</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(on file)</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(on file)</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2026-02-10</w:t>
            </w:r>
          </w:p>
        </w:tc>
      </w:tr>
    </w:tbl>
    <w:p>
      <w:pPr>
        <w:pStyle w:val="Heading2"/>
        <w:spacing w:after="100" w:before="220"/>
      </w:pPr>
      <w:r>
        <w:rPr>
          <w:rFonts w:ascii="Aptos" w:cs="Aptos" w:eastAsia="Aptos" w:hAnsi="Aptos"/>
          <w:b/>
          <w:bCs/>
          <w:color w:val="1B3A5C"/>
          <w:sz w:val="26"/>
          <w:szCs w:val="26"/>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2200"/>
        <w:gridCol w:w="4260"/>
      </w:tblGrid>
      <w:tr>
        <w:trPr>
          <w:cantSplit/>
          <w:tblHeader/>
        </w:trPr>
        <w:tc>
          <w:tcPr>
            <w:tcW w:type="dxa" w:w="13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Version</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Author</w:t>
            </w:r>
          </w:p>
        </w:tc>
        <w:tc>
          <w:tcPr>
            <w:tcW w:type="dxa" w:w="42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Summary of Change</w:t>
            </w:r>
          </w:p>
        </w:tc>
      </w:tr>
      <w:tr>
        <w:trPr>
          <w:cantSplit/>
        </w:trP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1.0</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2026-02-10</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Director</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Initial issue</w:t>
            </w:r>
          </w:p>
        </w:tc>
      </w:tr>
    </w:tbl>
    <w:p>
      <w:pPr>
        <w:spacing w:after="6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95959"/>
        <w:sz w:val="18"/>
        <w:szCs w:val="18"/>
      </w:rPr>
      <w:t xml:space="preserve">Page </w:t>
    </w:r>
    <w:r>
      <w:rPr>
        <w:rFonts w:ascii="Aptos" w:cs="Aptos" w:eastAsia="Aptos" w:hAnsi="Aptos"/>
        <w:color w:val="595959"/>
        <w:sz w:val="18"/>
        <w:szCs w:val="18"/>
      </w:rPr>
      <w:fldChar w:fldCharType="begin"/>
      <w:instrText xml:space="preserve">PAGE</w:instrText>
      <w:fldChar w:fldCharType="separate"/>
      <w:fldChar w:fldCharType="end"/>
    </w:r>
    <w:r>
      <w:rPr>
        <w:rFonts w:ascii="Aptos" w:cs="Aptos" w:eastAsia="Aptos" w:hAnsi="Aptos"/>
        <w:color w:val="595959"/>
        <w:sz w:val="18"/>
        <w:szCs w:val="18"/>
      </w:rPr>
      <w:t xml:space="preserve"> of </w:t>
    </w:r>
    <w:r>
      <w:rPr>
        <w:rFonts w:ascii="Aptos" w:cs="Aptos" w:eastAsia="Aptos" w:hAnsi="Apto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drawing>
        <wp:inline xmlns:a="http://schemas.openxmlformats.org/drawingml/2006/main" xmlns:pic="http://schemas.openxmlformats.org/drawingml/2006/picture">
          <wp:extent cx="777240" cy="777240"/>
          <wp:docPr id="1" name="Picture 1"/>
          <wp:cNvGraphicFramePr>
            <a:graphicFrameLocks noChangeAspect="1"/>
          </wp:cNvGraphicFramePr>
          <a:graphic>
            <a:graphicData uri="http://schemas.openxmlformats.org/drawingml/2006/picture">
              <pic:pic>
                <pic:nvPicPr>
                  <pic:cNvPr id="0" name="seal-hickory-county-911.png"/>
                  <pic:cNvPicPr/>
                </pic:nvPicPr>
                <pic:blipFill>
                  <a:blip r:embed="rId1"/>
                  <a:stretch>
                    <a:fillRect/>
                  </a:stretch>
                </pic:blipFill>
                <pic:spPr>
                  <a:xfrm>
                    <a:off x="0" y="0"/>
                    <a:ext cx="777240" cy="777240"/>
                  </a:xfrm>
                  <a:prstGeom prst="rect"/>
                </pic:spPr>
              </pic:pic>
            </a:graphicData>
          </a:graphic>
        </wp:inline>
      </w:drawing>
    </w:r>
  </w:p>
  <w:p>
    <w:pPr>
      <w:pBdr>
        <w:bottom w:val="single" w:color="1B3A5C" w:sz="6" w:space="2"/>
      </w:pBdr>
      <w:jc w:val="right"/>
    </w:pPr>
    <w:r>
      <w:rPr>
        <w:rFonts w:ascii="Aptos" w:cs="Aptos" w:eastAsia="Aptos" w:hAnsi="Aptos"/>
        <w:color w:val="595959"/>
        <w:sz w:val="16"/>
        <w:szCs w:val="16"/>
      </w:rPr>
    </w:r>
  </w:p>
  <w:p>
    <w:r>
      <w:drawing>
        <wp:anchor xmlns:a="http://schemas.openxmlformats.org/drawingml/2006/main" behindDoc="1" distT="0" distB="0" distL="0" distR="0" simplePos="0" locked="0" layoutInCell="1" allowOverlap="1" relativeHeight="0">
          <wp:simplePos x="0" y="0"/>
          <wp:positionH relativeFrom="page">
            <wp:align>center</wp:align>
          </wp:positionH>
          <wp:positionV relativeFrom="page">
            <wp:align>center</wp:align>
          </wp:positionV>
          <wp:extent cx="5943600" cy="5943600"/>
          <wp:effectExtent l="0" t="0" r="0" b="0"/>
          <wp:wrapNone/>
          <wp:docPr id="990" name="SampleWatermark"/>
          <wp:cNvGraphicFramePr/>
          <a:graphic xmlns:pic="http://schemas.openxmlformats.org/drawingml/2006/picture">
            <a:graphicData uri="http://schemas.openxmlformats.org/drawingml/2006/picture">
              <pic:pic>
                <pic:nvPicPr>
                  <pic:cNvPr id="0" name="_sample_wm.png"/>
                  <pic:cNvPicPr/>
                </pic:nvPicPr>
                <pic:blipFill>
                  <a:blip r:embed="rId2"/>
                  <a:stretch>
                    <a:fillRect/>
                  </a:stretch>
                </pic:blipFill>
                <pic:spPr>
                  <a:xfrm>
                    <a:off x="0" y="0"/>
                    <a:ext cx="5943600" cy="5943600"/>
                  </a:xfrm>
                  <a:prstGeom prst="rect"/>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bullet"/>
      <w:lvlText w:val="•"/>
      <w:lvlJc w:val="left"/>
      <w:pPr>
        <w:ind w:left="600" w:hanging="320"/>
      </w:pPr>
    </w:lvl>
  </w:abstractNum>
  <w:abstractNum w:abstractNumId="5" w15:restartNumberingAfterBreak="0">
    <w:multiLevelType w:val="hybridMultilevel"/>
    <w:lvl w:ilvl="0" w15:tentative="1">
      <w:start w:val="1"/>
      <w:numFmt w:val="bullet"/>
      <w:lvlText w:val="•"/>
      <w:lvlJc w:val="left"/>
      <w:pPr>
        <w:ind w:left="600" w:hanging="320"/>
      </w:pPr>
    </w:lvl>
  </w:abstractNum>
  <w:abstractNum w:abstractNumId="6" w15:restartNumberingAfterBreak="0">
    <w:multiLevelType w:val="hybridMultilevel"/>
    <w:lvl w:ilvl="0" w15:tentative="1">
      <w:start w:val="1"/>
      <w:numFmt w:val="decimal"/>
      <w:lvlText w:val="%1."/>
      <w:lvlJc w:val="left"/>
      <w:pPr>
        <w:ind w:left="600" w:hanging="320"/>
      </w:pPr>
    </w:lvl>
  </w:abstractNum>
  <w:abstractNum w:abstractNumId="7" w15:restartNumberingAfterBreak="0">
    <w:multiLevelType w:val="hybridMultilevel"/>
    <w:lvl w:ilvl="0" w15:tentative="1">
      <w:start w:val="1"/>
      <w:numFmt w:val="decimal"/>
      <w:lvlText w:val="%1."/>
      <w:lvlJc w:val="left"/>
      <w:pPr>
        <w:ind w:left="600" w:hanging="320"/>
      </w:pPr>
    </w:lvl>
  </w:abstractNum>
  <w:abstractNum w:abstractNumId="8" w15:restartNumberingAfterBreak="0">
    <w:multiLevelType w:val="hybridMultilevel"/>
    <w:lvl w:ilvl="0" w15:tentative="1">
      <w:start w:val="1"/>
      <w:numFmt w:val="decimal"/>
      <w:lvlText w:val="%1."/>
      <w:lvlJc w:val="left"/>
      <w:pPr>
        <w:ind w:left="600" w:hanging="320"/>
      </w:pPr>
    </w:lvl>
  </w:abstractNum>
  <w:abstractNum w:abstractNumId="9" w15:restartNumberingAfterBreak="0">
    <w:multiLevelType w:val="hybridMultilevel"/>
    <w:lvl w:ilvl="0" w15:tentative="1">
      <w:start w:val="1"/>
      <w:numFmt w:val="bullet"/>
      <w:lvlText w:val="•"/>
      <w:lvlJc w:val="left"/>
      <w:pPr>
        <w:ind w:left="600" w:hanging="320"/>
      </w:pPr>
    </w:lvl>
  </w:abstractNum>
  <w:abstractNum w:abstractNumId="10" w15:restartNumberingAfterBreak="0">
    <w:multiLevelType w:val="hybridMultilevel"/>
    <w:lvl w:ilvl="0" w15:tentative="1">
      <w:start w:val="1"/>
      <w:numFmt w:val="bullet"/>
      <w:lvlText w:val="•"/>
      <w:lvlJc w:val="left"/>
      <w:pPr>
        <w:ind w:left="600" w:hanging="320"/>
      </w:pPr>
    </w:lvl>
  </w:abstractNum>
  <w:abstractNum w:abstractNumId="11" w15:restartNumberingAfterBreak="0">
    <w:multiLevelType w:val="hybridMultilevel"/>
    <w:lvl w:ilvl="0" w15:tentative="1">
      <w:start w:val="1"/>
      <w:numFmt w:val="bullet"/>
      <w:lvlText w:val="•"/>
      <w:lvlJc w:val="left"/>
      <w:pPr>
        <w:ind w:left="600" w:hanging="320"/>
      </w:pPr>
    </w:lvl>
  </w:abstractNum>
  <w:abstractNum w:abstractNumId="1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 w:numId="2">
    <w:abstractNumId w:val="11"/>
    <w:lvlOverride w:ilvl="0">
      <w:startOverride w:val="1"/>
    </w:lvlOverride>
  </w:num>
  <w:num w:numId="3">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3">
    <w:name w:val="Heading 3"/>
    <w:basedOn w:val="Normal"/>
    <w:next w:val="Normal"/>
    <w:qFormat/>
    <w:pPr>
      <w:keepNext/>
      <w:keepLines/>
      <w:spacing w:after="100" w:before="220"/>
      <w:outlineLvl w:val="2"/>
    </w:pPr>
    <w:rPr>
      <w:rFonts w:ascii="Aptos" w:cs="Aptos" w:eastAsia="Aptos" w:hAnsi="Aptos"/>
      <w:b/>
      <w:bCs/>
      <w:color w:val="1B3A5C"/>
      <w:sz w:val="26"/>
      <w:szCs w:val="26"/>
    </w:rPr>
  </w:style>
  <w:style w:type="paragraph" w:styleId="Heading4">
    <w:name w:val="Heading 4"/>
    <w:basedOn w:val="Normal"/>
    <w:next w:val="Normal"/>
    <w:qFormat/>
    <w:pPr>
      <w:keepNext/>
      <w:keepLines/>
      <w:spacing w:after="100" w:before="220"/>
      <w:outlineLvl w:val="3"/>
    </w:pPr>
    <w:rPr>
      <w:rFonts w:ascii="Aptos" w:cs="Aptos" w:eastAsia="Aptos" w:hAnsi="Aptos"/>
      <w:b/>
      <w:bCs/>
      <w:color w:val="1B3A5C"/>
      <w:sz w:val="24"/>
      <w:szCs w:val="24"/>
    </w:rPr>
  </w:style>
  <w:style w:type="paragraph" w:styleId="Heading5">
    <w:name w:val="Heading 5"/>
    <w:basedOn w:val="Normal"/>
    <w:next w:val="Normal"/>
    <w:qFormat/>
    <w:pPr>
      <w:keepNext/>
      <w:keepLines/>
      <w:spacing w:after="100" w:before="220"/>
      <w:outlineLvl w:val="4"/>
    </w:pPr>
    <w:rPr>
      <w:rFonts w:ascii="Aptos" w:cs="Aptos" w:eastAsia="Aptos" w:hAnsi="Aptos"/>
      <w:b/>
      <w:bCs/>
      <w:color w:val="1B3A5C"/>
      <w:sz w:val="24"/>
      <w:szCs w:val="24"/>
    </w:rPr>
  </w:style>
  <w:style w:type="paragraph" w:styleId="Heading6">
    <w:name w:val="Heading 6"/>
    <w:basedOn w:val="Normal"/>
    <w:next w:val="Normal"/>
    <w:qFormat/>
    <w:pPr>
      <w:keepNext/>
      <w:keepLines/>
      <w:spacing w:after="100" w:before="220"/>
      <w:outlineLvl w:val="5"/>
    </w:pPr>
    <w:rPr>
      <w:rFonts w:ascii="Aptos" w:cs="Aptos" w:eastAsia="Aptos" w:hAnsi="Aptos"/>
      <w:b/>
      <w:bCs/>
      <w:color w:val="1B3A5C"/>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60" w:before="240"/>
      <w:outlineLvl w:val="0"/>
    </w:pPr>
    <w:rPr>
      <w:rFonts w:ascii="Aptos" w:cs="Aptos" w:eastAsia="Aptos" w:hAnsi="Aptos"/>
      <w:b/>
      <w:bCs/>
      <w:color w:val="1B3A5C"/>
      <w:sz w:val="32"/>
      <w:szCs w:val="32"/>
    </w:rPr>
  </w:style>
  <w:style w:type="paragraph" w:styleId="Heading2">
    <w:name w:val="Heading 2"/>
    <w:basedOn w:val="Normal"/>
    <w:next w:val="Normal"/>
    <w:qFormat/>
    <w:pPr>
      <w:keepNext/>
      <w:keepLines/>
      <w:spacing w:after="100" w:before="220"/>
      <w:outlineLvl w:val="1"/>
    </w:pPr>
    <w:rPr>
      <w:rFonts w:ascii="Aptos" w:cs="Aptos" w:eastAsia="Aptos" w:hAnsi="Aptos"/>
      <w:b/>
      <w:bCs/>
      <w:color w:val="1B3A5C"/>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911 Authority in partnership with IN911</dc:creator>
  <cp:lastModifiedBy/>
  <cp:revision>1</cp:revision>
  <dcterms:created xsi:type="dcterms:W3CDTF">2026-06-01T15:29:11.455Z</dcterms:created>
  <dcterms:modified xsi:type="dcterms:W3CDTF">2026-06-01T15:29:11.455Z</dcterms:modified>
  <dc:title xmlns:dc="http://purl.org/dc/elements/1.1/">Unauthorized Disclosure Response &amp; Notification Procedures - EXAMPLE - S</dc:title>
</cp:coreProperties>
</file>

<file path=docProps/custom.xml><?xml version="1.0" encoding="utf-8"?>
<Properties xmlns="http://schemas.openxmlformats.org/officeDocument/2006/custom-properties" xmlns:vt="http://schemas.openxmlformats.org/officeDocument/2006/docPropsVTypes"/>
</file>