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Email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secures email and keeps it away from real-time call-handling. It defines safe handling of external mail, who may administer mailboxes, and the inspection email must pass, so a compromised inbox does not reach dispatch operations.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all Agency email accounts and the personnel, contractors, and vendors who use or administer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isolation of email from real-time operations, handling of external mail and links and attachments, restrictions on mailbox delegation and inbox rules, expected inspection and sandboxing, and reporting of suspicious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general acceptable-use conduct, governed by the Acceptable Use Policy; email-account provisioning, governed by the Access Control Policy; and the authentication settings, held in the Email Authentication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Semi-trusted system: a system that connects to the outside and is therefore isolated and inspected, not treated as part of the trusted operational core.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Mailbox delegation: granting one user access to another user's mailbox.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Email shall run separate from real-time call-handling systems, so a compromise of email does not reach 9-1-1 operations.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Inbound email shall be inspected, with attachments and links filtered or sandboxed before delivery where the platform supports it.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External email shall be identifiable to the reader, and personnel handle links and attachments in external mail with caution.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Only approved, trained staff shall perform email administration, including mailbox delegation and the creation or change of inbox rules and automatic forwards.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Personnel shall report suspicious email through the Agency's reporting method, and reported messages are reviewed and handled under the Incident Response Plan.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Email authentication (SPF, DKIM, DMARC, TLS) shall be configured and maintained per the Email Authentication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approves who may administer email,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inspection, isolation, and authentication, and maintains them.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reported email and suspected compromise and escalates.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Handle external mail with care, do not change inbox rules without authorization, and report suspicious email.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Director monitors compliance. Unauthorized mailbox delegation or inbox rules are removed,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Director, must state the reason and any compensating control, and expire after one year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Agency's email platform, by the Security Coordinator.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 hardens the email platform, restricts administration to a named group, and reviews inbox-rule and forwarding changes; the security coordinator handles reported messages.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AC-6, SC-7, SI-3, SI-8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Email Security Policy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