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Change Management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January 20,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January 20,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Tri-River Regional 911 Center makes changes to its systems: what counts as a change, how changes are approved and documented, and how deviations are reviewed. It applies across every system and device, and is the parent for the Agency's change, patch, and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and the IT and security teams who request, approve, or implement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every production system and device the Agency operates, including telephony, CAD, network, and DNS.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None.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Change: any addition, modification, or removal that could affect a production system, its configuration, or its security posture.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Standard change: a pre-approved, low-risk change that follows an established procedure.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Major (significant) change: a change with meaningful security, operational, or availability impact, requiring a risk-scaled assessment and approval before implementation.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Emergency change: a change made without delay to restore service or remove an immediate threat, approved through the Emergency Change Procedures and documented after the fact.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Supervised maintenance: maintenance of a sensitive or critical system performed by authorized personnel under defined safeguards (scheduled window, pre-maintenance backup, second-person sign-off).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classify every change to a production system as a standard, major (significant), or emergency change, and route each through the approval path defined for its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not implement a change to a production system without the documented approval required for its class, and shall record every change request, approval, and outcome in the Change Request &amp; Approval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approving a major change, the Agency shall assess its security impact, operational risk, and side effects against the approved baselines, with sign-off scaled to the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review deviations from standard configurations and approved baselines and record the disposition of each.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DNS Administration and Change Governance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restrict who may manage DNS roles and records, route every DNS change through the approval workflow in this policy, and log the review and sign-off for each record or zone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Supervised Maintenance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perform maintenance on sensitive or critical systems only with authorized personnel, on a scheduled window, with a pre-maintenance backup and a second-person sign-off, protecting data confidentiality and service availability throughout.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Security Assessment Gate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 major deployment or significant change goes live, the Agency shall complete a security assessment scaled to the risk, including a review of cryptographic controls, and obtain sign-off on the assessment before go-live.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Approves major and emergency changes; owns this policy and the deviation process.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Submits change requests, implements approved changes, performs supervised maintenance with a second-person sign-off, and keeps the change records.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Change Advisory Board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and approves changes at the level set for each risk tier and reviews deviations.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Completes the pre-go-live security assessment, including the cryptographic review, for major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Follow this policy and make no unauthorized changes to Agency systems.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monitored through the change records and periodic review. A change made without the required approval is treated as unauthorized, corrected, and reviewed under the Agency's corrective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10.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to this policy requires written approval from the Executive Director, recorded with a reason and an expiry. An emergency change is not an exception: it is a defined change class handled through the Emergency Change Procedures and documented after the fact.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11.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 significant change to its systems or change process, by the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change advisory board governs changes across both centers, with formal risk scoring, a security assessment gate for major deployments, and change records in an ITSM system.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§4.4, §5.2, §6.4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CM-3, CM-4, CM-5, CM-9, MA-2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 (approving)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January 20,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 (owner)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January 20,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January 20,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Change Management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