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Wabash Valley Communications</w:t>
            </w:r>
            <w:r>
              <w:rPr>
                <w:rFonts w:ascii="Aptos" w:cs="Aptos" w:eastAsia="Aptos" w:hAnsi="Aptos"/>
                <w:sz w:val="24"/>
                <w:szCs w:val="24"/>
              </w:rPr>
              <w:t xml:space="preserve"> under the authority of </w:t>
            </w:r>
            <w:r>
              <w:rPr>
                <w:rFonts w:ascii="Aptos" w:cs="Aptos" w:eastAsia="Aptos" w:hAnsi="Aptos"/>
                <w:sz w:val="24"/>
                <w:szCs w:val="24"/>
              </w:rPr>
              <w:t xml:space="preserve">the Wabash Valley Communications Governing Board</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1.0    </w:t>
            </w:r>
            <w:r>
              <w:rPr>
                <w:rFonts w:ascii="Aptos" w:cs="Aptos" w:eastAsia="Aptos" w:hAnsi="Aptos"/>
                <w:b/>
                <w:sz w:val="24"/>
                <w:szCs w:val="24"/>
              </w:rPr>
              <w:t xml:space="preserve">Effective Date: </w:t>
            </w:r>
            <w:r>
              <w:rPr>
                <w:rFonts w:ascii="Aptos" w:cs="Aptos" w:eastAsia="Aptos" w:hAnsi="Aptos"/>
                <w:sz w:val="24"/>
                <w:szCs w:val="24"/>
              </w:rPr>
              <w:t xml:space="preserve">February 16, 2026    </w:t>
            </w:r>
            <w:r>
              <w:rPr>
                <w:rFonts w:ascii="Aptos" w:cs="Aptos" w:eastAsia="Aptos" w:hAnsi="Aptos"/>
                <w:b/>
                <w:sz w:val="24"/>
                <w:szCs w:val="24"/>
              </w:rPr>
              <w:t xml:space="preserve">Next Review: </w:t>
            </w:r>
            <w:r>
              <w:rPr>
                <w:rFonts w:ascii="Aptos" w:cs="Aptos" w:eastAsia="Aptos" w:hAnsi="Aptos"/>
                <w:sz w:val="24"/>
                <w:szCs w:val="24"/>
              </w:rPr>
              <w:t xml:space="preserve">February 16, 2027</w:t>
            </w:r>
          </w:p>
          <w:p>
            <w:pPr>
              <w:spacing w:after="60"/>
            </w:pPr>
            <w:r>
              <w:rPr>
                <w:rFonts w:ascii="Aptos" w:cs="Aptos" w:eastAsia="Aptos" w:hAnsi="Aptos"/>
                <w:b/>
                <w:sz w:val="24"/>
                <w:szCs w:val="24"/>
              </w:rPr>
              <w:t xml:space="preserve">Owner: </w:t>
            </w:r>
            <w:r>
              <w:rPr>
                <w:rFonts w:ascii="Aptos" w:cs="Aptos" w:eastAsia="Aptos" w:hAnsi="Aptos"/>
                <w:sz w:val="24"/>
                <w:szCs w:val="24"/>
              </w:rPr>
              <w:t xml:space="preserve">Security Coordinator   </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policy governs how the Agency protects sensitive information with encryption, both at rest and in transit. It sets the obligation to encrypt by data classification, names who is accountable, and requires that only cryptography approved in the Encryption Standards Document is used. It does not specify algorithms or settings: those live in the Encryption Standards Document.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personnel, contractors, and vendors who handle Agency sensitive data or administer systems that store or transmit it.</w:t>
      </w:r>
    </w:p>
    <w:p>
      <w:pPr>
        <w:pStyle w:val="ListParagraph"/>
        <w:numPr>
          <w:ilvl w:val="0"/>
          <w:numId w:val="2"/>
        </w:numPr>
        <w:spacing w:after="60"/>
      </w:pPr>
      <w:r>
        <w:rPr>
          <w:rFonts w:ascii="Aptos" w:cs="Aptos" w:eastAsia="Aptos" w:hAnsi="Aptos"/>
          <w:b/>
          <w:sz w:val="24"/>
          <w:szCs w:val="24"/>
        </w:rPr>
        <w:t xml:space="preserve">Covers: </w:t>
      </w:r>
      <w:r>
        <w:rPr>
          <w:rFonts w:ascii="Aptos" w:cs="Aptos" w:eastAsia="Aptos" w:hAnsi="Aptos"/>
          <w:sz w:val="24"/>
          <w:szCs w:val="24"/>
        </w:rPr>
        <w:t xml:space="preserve">Agency sensitive data wherever it resides: on-premises and cloud storage, databases, application logs, call recordings, backups, voice and message traffic, system interfaces, and removable media.</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data classified Internal or Public where no statute, contract, or risk decision requires encryption. None.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sz w:val="24"/>
          <w:szCs w:val="24"/>
        </w:rPr>
        <w:t xml:space="preserve">Approved cryptography: </w:t>
      </w:r>
      <w:r>
        <w:rPr>
          <w:rFonts w:ascii="Aptos" w:cs="Aptos" w:eastAsia="Aptos" w:hAnsi="Aptos"/>
          <w:sz w:val="24"/>
          <w:szCs w:val="24"/>
        </w:rPr>
        <w:t xml:space="preserve">the algorithms, protocols, and minimum key lengths set out in the Encryption Standards Document.</w:t>
      </w:r>
    </w:p>
    <w:p>
      <w:pPr>
        <w:spacing w:after="120" w:before="0"/>
      </w:pPr>
      <w:r>
        <w:rPr>
          <w:rFonts w:ascii="Aptos" w:cs="Aptos" w:eastAsia="Aptos" w:hAnsi="Aptos"/>
          <w:b/>
          <w:sz w:val="24"/>
          <w:szCs w:val="24"/>
        </w:rPr>
        <w:t xml:space="preserve">Sensitive data: </w:t>
      </w:r>
      <w:r>
        <w:rPr>
          <w:rFonts w:ascii="Aptos" w:cs="Aptos" w:eastAsia="Aptos" w:hAnsi="Aptos"/>
          <w:sz w:val="24"/>
          <w:szCs w:val="24"/>
        </w:rPr>
        <w:t xml:space="preserve">data classified Restricted or Confidential under the Data Classification Policy.</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00"/>
        </w:numPr>
        <w:spacing w:after="60"/>
      </w:pPr>
      <w:r>
        <w:rPr>
          <w:rFonts w:ascii="Aptos" w:cs="Aptos" w:eastAsia="Aptos" w:hAnsi="Aptos"/>
          <w:sz w:val="24"/>
          <w:szCs w:val="24"/>
        </w:rPr>
        <w:t xml:space="preserve">The Agency shall encrypt sensitive data at rest and in transit, using only cryptography approved in the Encryption Standards Document.</w:t>
      </w:r>
    </w:p>
    <w:p>
      <w:pPr>
        <w:pStyle w:val="ListParagraph"/>
        <w:numPr>
          <w:ilvl w:val="0"/>
          <w:numId w:val="300"/>
        </w:numPr>
        <w:spacing w:after="60"/>
      </w:pPr>
      <w:r>
        <w:rPr>
          <w:rFonts w:ascii="Aptos" w:cs="Aptos" w:eastAsia="Aptos" w:hAnsi="Aptos"/>
          <w:sz w:val="24"/>
          <w:szCs w:val="24"/>
        </w:rPr>
        <w:t xml:space="preserve">Encryption follows the Data Classification Policy. Data classified Restricted or Confidential shall be encrypted at rest and in transit. The Agency may extend encryption to lower classifications where a statute, contract, or risk decision requires it.</w:t>
      </w:r>
    </w:p>
    <w:p>
      <w:pPr>
        <w:pStyle w:val="ListParagraph"/>
        <w:numPr>
          <w:ilvl w:val="0"/>
          <w:numId w:val="300"/>
        </w:numPr>
        <w:spacing w:after="60"/>
      </w:pPr>
      <w:r>
        <w:rPr>
          <w:rFonts w:ascii="Aptos" w:cs="Aptos" w:eastAsia="Aptos" w:hAnsi="Aptos"/>
          <w:sz w:val="24"/>
          <w:szCs w:val="24"/>
        </w:rPr>
        <w:t xml:space="preserve">The Agency shall encrypt sensitive data wherever it resides, including on-premises and cloud storage, databases, application logs, call recordings, and backups.</w:t>
      </w:r>
    </w:p>
    <w:p>
      <w:pPr>
        <w:pStyle w:val="ListParagraph"/>
        <w:numPr>
          <w:ilvl w:val="0"/>
          <w:numId w:val="300"/>
        </w:numPr>
        <w:spacing w:after="60"/>
      </w:pPr>
      <w:r>
        <w:rPr>
          <w:rFonts w:ascii="Aptos" w:cs="Aptos" w:eastAsia="Aptos" w:hAnsi="Aptos"/>
          <w:sz w:val="24"/>
          <w:szCs w:val="24"/>
        </w:rPr>
        <w:t xml:space="preserve">The Agency shall encrypt sensitive data in transit across networks it does not control, including device-to-device communication, voice and message traffic, system interfaces, and remote-access sessions.</w:t>
      </w:r>
    </w:p>
    <w:p>
      <w:pPr>
        <w:pStyle w:val="ListParagraph"/>
        <w:numPr>
          <w:ilvl w:val="0"/>
          <w:numId w:val="300"/>
        </w:numPr>
        <w:spacing w:after="60"/>
      </w:pPr>
      <w:r>
        <w:rPr>
          <w:rFonts w:ascii="Aptos" w:cs="Aptos" w:eastAsia="Aptos" w:hAnsi="Aptos"/>
          <w:sz w:val="24"/>
          <w:szCs w:val="24"/>
        </w:rPr>
        <w:t xml:space="preserve">The Agency shall select algorithms, protocols, and key lengths only from the Encryption Standards Document, and shall not use any cryptography the Standard prohibits.</w:t>
      </w:r>
    </w:p>
    <w:p>
      <w:pPr>
        <w:pStyle w:val="ListParagraph"/>
        <w:numPr>
          <w:ilvl w:val="0"/>
          <w:numId w:val="300"/>
        </w:numPr>
        <w:spacing w:after="60"/>
      </w:pPr>
      <w:r>
        <w:rPr>
          <w:rFonts w:ascii="Aptos" w:cs="Aptos" w:eastAsia="Aptos" w:hAnsi="Aptos"/>
          <w:sz w:val="24"/>
          <w:szCs w:val="24"/>
        </w:rPr>
        <w:t xml:space="preserve">Cryptographic keys shall be generated, distributed, stored, rotated, and revoked under the Key &amp; Certificate Management Policy. Key access is restricted and kept separate from the data the keys protect.</w:t>
      </w:r>
    </w:p>
    <w:p>
      <w:pPr>
        <w:pStyle w:val="ListParagraph"/>
        <w:numPr>
          <w:ilvl w:val="0"/>
          <w:numId w:val="300"/>
        </w:numPr>
        <w:spacing w:after="60"/>
      </w:pPr>
      <w:r>
        <w:rPr>
          <w:rFonts w:ascii="Aptos" w:cs="Aptos" w:eastAsia="Aptos" w:hAnsi="Aptos"/>
          <w:sz w:val="24"/>
          <w:szCs w:val="24"/>
        </w:rPr>
        <w:t xml:space="preserve">Vendors and service providers that store or transmit Agency sensitive data shall meet encryption requirements no weaker than this policy, evidenced by contract terms or a recognized attestation such as FedRAMP or SOC 2.</w:t>
      </w:r>
    </w:p>
    <w:p>
      <w:pPr>
        <w:pStyle w:val="ListParagraph"/>
        <w:numPr>
          <w:ilvl w:val="0"/>
          <w:numId w:val="300"/>
        </w:numPr>
        <w:spacing w:after="60"/>
      </w:pPr>
      <w:r>
        <w:rPr>
          <w:rFonts w:ascii="Aptos" w:cs="Aptos" w:eastAsia="Aptos" w:hAnsi="Aptos"/>
          <w:sz w:val="24"/>
          <w:szCs w:val="24"/>
        </w:rPr>
        <w:t xml:space="preserve">The Agency shall verify that required encryption is in place, record the result in the Encryption Implementation Verification Records, and track any gap to closure in the Risk / Finding Register.</w:t>
      </w:r>
    </w:p>
    <w:p>
      <w:pPr>
        <w:pStyle w:val="ListParagraph"/>
        <w:numPr>
          <w:ilvl w:val="0"/>
          <w:numId w:val="300"/>
        </w:numPr>
        <w:spacing w:after="60"/>
      </w:pPr>
      <w:r>
        <w:rPr>
          <w:rFonts w:ascii="Aptos" w:cs="Aptos" w:eastAsia="Aptos" w:hAnsi="Aptos"/>
          <w:sz w:val="24"/>
          <w:szCs w:val="24"/>
        </w:rPr>
        <w:t xml:space="preserve">Encryption that protects CJIS-regulated data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exceptions, and ensures encryption obligations are funded and met.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and maintains encryption on systems and data stores, applies the Encryption Standards Document, and supports key management.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sz w:val="24"/>
                <w:szCs w:val="24"/>
              </w:rPr>
              <w:t xml:space="preserve">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Verifies encryption is applied where required, records results in the Encryption Implementation Verification Records, and reports gaps.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Use only approved encrypted methods for sensitive data; do not disable or bypass encryption controls.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sz w:val="24"/>
          <w:szCs w:val="24"/>
        </w:rPr>
        <w:t xml:space="preserve">The Executive Director monitors compliance through the Encryption Implementation Verification Records and periodic review. Sensitive data found unencrypted where this policy requires encryption is recorded as a finding in the Risk / Finding Register and remediated on a set timeline. Deliberate bypass of an encryption control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sz w:val="24"/>
          <w:szCs w:val="24"/>
        </w:rPr>
        <w:t xml:space="preserve">An exception requires written approval from the Executive Director, must name the system or data affected and any compensating control, and is recorded in the Risk / Finding Register with a review date. The exception lapses on that date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sz w:val="24"/>
          <w:szCs w:val="24"/>
        </w:rPr>
        <w:t xml:space="preserve">This policy is reviewed at least annually and after any significant change to the systems it covers, the Data Classification Policy, or the Encryption Standards Document, by the Security Coordinator.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IT applies the Encryption Standards Document across systems, manages keys for the main data stores, and checks encryption at each periodic review. Add provider attestations (FedRAMP, SOC 2) to vendor agreements.</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sz w:val="24"/>
          <w:szCs w:val="24"/>
        </w:rPr>
        <w:t xml:space="preserve">CJIS Handling: This policy governs cryptographic protection of CJIS-regulated data, reached in Indiana through IDACS. Apply the FBI CJIS Security Policy v5.9 §5.10.1.2 (encryption of CJI at rest and in transit using FIPS-validated cryptographic modules) in addition to the controls above, and 240 IAC 5 where IDACS is in scope. Remove this addendum and the / CJIS classification marker if the Agency stores or transmits no CJIS-regulated data on systems it controls.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§4.1.4, §6.22, §6.23</w:t>
            </w:r>
          </w:p>
          <w:p>
            <w:pPr>
              <w:spacing w:after="40" w:before="0"/>
            </w:pPr>
            <w:r>
              <w:rPr>
                <w:rFonts w:ascii="Aptos" w:cs="Aptos" w:eastAsia="Aptos" w:hAnsi="Aptos"/>
                <w:i/>
                <w:sz w:val="24"/>
                <w:szCs w:val="24"/>
              </w:rPr>
              <w:t xml:space="preserve">NIST SP 800-53 Rev. 5: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(encryption of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February 16,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February 16,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February 16,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Encryption Policy - EXAMPLE - M</dc:title>
</cp:coreProperties>
</file>

<file path=docProps/custom.xml><?xml version="1.0" encoding="utf-8"?>
<Properties xmlns="http://schemas.openxmlformats.org/officeDocument/2006/custom-properties" xmlns:vt="http://schemas.openxmlformats.org/officeDocument/2006/docPropsVTypes"/>
</file>