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Tri-River Regional 911 Center under the authority of Dr. Lisa Park,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who may enter the Agency’s controlled spaces, how their access is authorized and credentialed, and how it is removed when no longer needed. The aim is to keep dispatch operations, equipment, and the systems they depend on physically protected against unauthorized entry.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vendors, and visitors who enter or seek entry to controlled facility areas, and to everyone who grants or revokes that access.</w:t>
      </w:r>
    </w:p>
    <w:p>
      <w:pPr>
        <w:pStyle w:val="ListParagraph"/>
        <w:numPr>
          <w:ilvl w:val="0"/>
          <w:numId w:val="2"/>
        </w:numPr>
        <w:spacing w:after="60"/>
      </w:pPr>
      <w:r>
        <w:rPr>
          <w:rFonts w:ascii="Aptos" w:cs="Aptos" w:eastAsia="Aptos" w:hAnsi="Aptos"/>
          <w:b w:val="0"/>
          <w:bCs w:val="false"/>
          <w:i w:val="false"/>
          <w:iCs w:val="false"/>
          <w:sz w:val="24"/>
          <w:szCs w:val="24"/>
        </w:rPr>
        <w:t>Covers: every controlled space (the dispatch floor, equipment and server rooms, IDF/MDF closets, and cable trunk pathways) held to one access, credentialing, and logging standard.</w:t>
      </w:r>
    </w:p>
    <w:p>
      <w:pPr>
        <w:pStyle w:val="ListParagraph"/>
        <w:numPr>
          <w:ilvl w:val="0"/>
          <w:numId w:val="2"/>
        </w:numPr>
        <w:spacing w:after="60"/>
      </w:pPr>
      <w:r>
        <w:rPr>
          <w:rFonts w:ascii="Aptos" w:cs="Aptos" w:eastAsia="Aptos" w:hAnsi="Aptos"/>
          <w:b w:val="0"/>
          <w:bCs w:val="false"/>
          <w:i w:val="false"/>
          <w:iCs w:val="false"/>
          <w:sz w:val="24"/>
          <w:szCs w:val="24"/>
        </w:rPr>
        <w:t>Excludes: public areas of both centers and tenant spaces controlled under separate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Controlled area: any space the Agency restricts to authorized people, including the dispatch floor, equipment and server rooms, IDF/MDF closets, and cable pathways.</w:t>
      </w:r>
    </w:p>
    <w:p>
      <w:pPr>
        <w:spacing w:after="120" w:before="0"/>
      </w:pPr>
      <w:r>
        <w:rPr>
          <w:rFonts w:ascii="Aptos" w:cs="Aptos" w:eastAsia="Aptos" w:hAnsi="Aptos"/>
          <w:b w:val="0"/>
          <w:bCs w:val="false"/>
          <w:i w:val="false"/>
          <w:iCs w:val="false"/>
          <w:sz w:val="24"/>
          <w:szCs w:val="24"/>
        </w:rPr>
        <w:t>Access credential: the badge, key, PIN, or biometric that authorizes entry to a controlled area.</w:t>
      </w:r>
    </w:p>
    <w:p>
      <w:pPr>
        <w:spacing w:after="120" w:before="0"/>
      </w:pPr>
      <w:r>
        <w:rPr>
          <w:rFonts w:ascii="Aptos" w:cs="Aptos" w:eastAsia="Aptos" w:hAnsi="Aptos"/>
          <w:b w:val="0"/>
          <w:bCs w:val="false"/>
          <w:i w:val="false"/>
          <w:iCs w:val="false"/>
          <w:sz w:val="24"/>
          <w:szCs w:val="24"/>
        </w:rPr>
        <w:t>Escort: an authorized person who accompanies and monitors a visitor in a controlled area at all times.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designate each controlled area and the access level required to enter it, and shall hold IDF/MDF closets, server rooms, and cable pathways to the same standard as other controlled areas.</w:t>
      </w:r>
    </w:p>
    <w:p>
      <w:pPr>
        <w:pStyle w:val="ListParagraph"/>
        <w:numPr>
          <w:ilvl w:val="0"/>
          <w:numId w:val="3"/>
        </w:numPr>
        <w:spacing w:after="60"/>
      </w:pPr>
      <w:r>
        <w:rPr>
          <w:rFonts w:ascii="Aptos" w:cs="Aptos" w:eastAsia="Aptos" w:hAnsi="Aptos"/>
          <w:b w:val="0"/>
          <w:bCs w:val="false"/>
          <w:i w:val="false"/>
          <w:iCs w:val="false"/>
          <w:sz w:val="24"/>
          <w:szCs w:val="24"/>
        </w:rPr>
        <w:t>Access to a controlled area is granted only after the Director or a delegated approver authorizes it, and only at the level the person’s role requires.</w:t>
      </w:r>
    </w:p>
    <w:p>
      <w:pPr>
        <w:pStyle w:val="ListParagraph"/>
        <w:numPr>
          <w:ilvl w:val="0"/>
          <w:numId w:val="3"/>
        </w:numPr>
        <w:spacing w:after="60"/>
      </w:pPr>
      <w:r>
        <w:rPr>
          <w:rFonts w:ascii="Aptos" w:cs="Aptos" w:eastAsia="Aptos" w:hAnsi="Aptos"/>
          <w:b w:val="0"/>
          <w:bCs w:val="false"/>
          <w:i w:val="false"/>
          <w:iCs w:val="false"/>
          <w:sz w:val="24"/>
          <w:szCs w:val="24"/>
        </w:rPr>
        <w:t>Each authorized person is issued an individual access credential (badge, key, PIN, or biometric) that is not shared or loaned, and credentials are recorded in the Access Authorization List.</w:t>
      </w:r>
    </w:p>
    <w:p>
      <w:pPr>
        <w:pStyle w:val="ListParagraph"/>
        <w:numPr>
          <w:ilvl w:val="0"/>
          <w:numId w:val="3"/>
        </w:numPr>
        <w:spacing w:after="60"/>
      </w:pPr>
      <w:r>
        <w:rPr>
          <w:rFonts w:ascii="Aptos" w:cs="Aptos" w:eastAsia="Aptos" w:hAnsi="Aptos"/>
          <w:b w:val="0"/>
          <w:bCs w:val="false"/>
          <w:i w:val="false"/>
          <w:iCs w:val="false"/>
          <w:sz w:val="24"/>
          <w:szCs w:val="24"/>
        </w:rPr>
        <w:t>Access is revoked promptly on role change, separation, or loss of a credential, and the Access Authorization List is updated to match.</w:t>
      </w:r>
    </w:p>
    <w:p>
      <w:pPr>
        <w:pStyle w:val="ListParagraph"/>
        <w:numPr>
          <w:ilvl w:val="0"/>
          <w:numId w:val="3"/>
        </w:numPr>
        <w:spacing w:after="60"/>
      </w:pPr>
      <w:r>
        <w:rPr>
          <w:rFonts w:ascii="Aptos" w:cs="Aptos" w:eastAsia="Aptos" w:hAnsi="Aptos"/>
          <w:b w:val="0"/>
          <w:bCs w:val="false"/>
          <w:i w:val="false"/>
          <w:iCs w:val="false"/>
          <w:sz w:val="24"/>
          <w:szCs w:val="24"/>
        </w:rPr>
        <w:t>Visitors are authorized before arrival where possible, verified by identity on arrival, asked to acknowledge the Visitor Access Agreement Form, issued a clearly identifiable temporary badge, and escorted at all times in non-public areas; entries and exits are recorded in the Visitor Log.</w:t>
      </w:r>
    </w:p>
    <w:p>
      <w:pPr>
        <w:pStyle w:val="ListParagraph"/>
        <w:numPr>
          <w:ilvl w:val="0"/>
          <w:numId w:val="3"/>
        </w:numPr>
        <w:spacing w:after="60"/>
      </w:pPr>
      <w:r>
        <w:rPr>
          <w:rFonts w:ascii="Aptos" w:cs="Aptos" w:eastAsia="Aptos" w:hAnsi="Aptos"/>
          <w:b w:val="0"/>
          <w:bCs w:val="false"/>
          <w:i w:val="false"/>
          <w:iCs w:val="false"/>
          <w:sz w:val="24"/>
          <w:szCs w:val="24"/>
        </w:rPr>
        <w:t>Vendor and contractor site access is arranged in advance and supervised, following the Vendor Access Coordination Procedure.</w:t>
      </w:r>
    </w:p>
    <w:p>
      <w:pPr>
        <w:pStyle w:val="ListParagraph"/>
        <w:numPr>
          <w:ilvl w:val="0"/>
          <w:numId w:val="3"/>
        </w:numPr>
        <w:spacing w:after="60"/>
      </w:pPr>
      <w:r>
        <w:rPr>
          <w:rFonts w:ascii="Aptos" w:cs="Aptos" w:eastAsia="Aptos" w:hAnsi="Aptos"/>
          <w:b w:val="0"/>
          <w:bCs w:val="false"/>
          <w:i w:val="false"/>
          <w:iCs w:val="false"/>
          <w:sz w:val="24"/>
          <w:szCs w:val="24"/>
        </w:rPr>
        <w:t>Entries, exits, and badge incidents in controlled areas are recorded and reviewed for anomalies in the Physical Access Review Records, and lost, stolen, or misused credentials are reported immediately and deactivated.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Secures equipment spaces (server rooms, IDF/MDF, cable pathways) and integrates them into the badge platform.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&amp; Security Lead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Administers the badge system, issues and revokes credentials, and runs scheduled access reviews.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Use only their own credential, prevent tailgating, challenge or report unescorted strangers, and safeguard badges.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granted outside this policy is revoked, credential misuse is investigated,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area affected and any compensating control, and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facility or its access systems, by the Facilities &amp; Security Lead.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Tri-River runs an electronic badge system that logs every controlled space across its two centers, with IDF/MDF and server-room entry tied into the same platform. A Facilities &amp; Security Lead owns the program and reviews access on a set cadence.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§6.1.2, §6.1.3, §6.1.4, §6.1.7, §6.1.8</w:t>
            </w:r>
          </w:p>
          <w:p>
            <w:pPr>
              <w:spacing w:after="40" w:before="0"/>
            </w:pPr>
            <w:r>
              <w:rPr>
                <w:rFonts w:ascii="Aptos" w:hAnsi="Aptos"/>
                <w:b w:val="0"/>
                <w:sz w:val="24"/>
              </w:rPr>
              <w:t>NIST SP 800-53 Rev. 5: PE-1, PE-2, PE-3, PE-4, PE-8</w:t>
            </w:r>
          </w:p>
          <w:p>
            <w:pPr>
              <w:spacing w:after="40" w:before="0"/>
            </w:pPr>
            <w:r>
              <w:rPr>
                <w:rFonts w:ascii="Aptos" w:hAnsi="Aptos"/>
                <w:b w:val="0"/>
                <w:sz w:val="24"/>
              </w:rPr>
              <w:t>Indiana statutes and administrative code: 240 IAC 5: IDACS Security (where IDACS equipment is housed in a controlled area)</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&amp; Security Lead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&amp; Security Lead</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Physical Access Control Policy - EXAMPLE - L</dc:title>
</cp:coreProperties>
</file>

<file path=docProps/custom.xml><?xml version="1.0" encoding="utf-8"?>
<Properties xmlns="http://schemas.openxmlformats.org/officeDocument/2006/custom-properties" xmlns:vt="http://schemas.openxmlformats.org/officeDocument/2006/docPropsVTypes"/>
</file>