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Third-Party Access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Party A: </w:t>
            </w:r>
            <w:r>
              <w:rPr>
                <w:rFonts w:ascii="Aptos" w:cs="Aptos" w:eastAsia="Aptos" w:hAnsi="Aptos"/>
                <w:sz w:val="24"/>
                <w:szCs w:val="24"/>
              </w:rPr>
              <w:t xml:space="preserve">Wabash Valley Communications, the Director</w:t>
            </w:r>
          </w:p>
          <w:p>
            <w:pPr>
              <w:spacing w:after="60"/>
            </w:pPr>
            <w:r>
              <w:rPr>
                <w:rFonts w:ascii="Aptos" w:cs="Aptos" w:eastAsia="Aptos" w:hAnsi="Aptos"/>
                <w:b/>
                <w:bCs/>
                <w:sz w:val="24"/>
                <w:szCs w:val="24"/>
              </w:rPr>
              <w:t xml:space="preserve">Party B: </w:t>
            </w:r>
            <w:r>
              <w:rPr>
                <w:rFonts w:ascii="Aptos" w:cs="Aptos" w:eastAsia="Aptos" w:hAnsi="Aptos"/>
                <w:sz w:val="24"/>
                <w:szCs w:val="24"/>
              </w:rPr>
              <w:t xml:space="preserve">Vendor B (hosted ESInet and network services provider), authorized representative</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2026-03-05    </w:t>
            </w:r>
            <w:r>
              <w:rPr>
                <w:rFonts w:ascii="Aptos" w:cs="Aptos" w:eastAsia="Aptos" w:hAnsi="Aptos"/>
                <w:b/>
                <w:bCs/>
                <w:sz w:val="24"/>
                <w:szCs w:val="24"/>
              </w:rPr>
              <w:t xml:space="preserve">Next Review: </w:t>
            </w:r>
            <w:r>
              <w:rPr>
                <w:rFonts w:ascii="Aptos" w:cs="Aptos" w:eastAsia="Aptos" w:hAnsi="Aptos"/>
                <w:sz w:val="24"/>
                <w:szCs w:val="24"/>
              </w:rPr>
              <w:t xml:space="preserve">2027-03-05</w:t>
            </w:r>
          </w:p>
          <w:p>
            <w:pPr>
              <w:spacing w:after="0"/>
            </w:pPr>
            <w:r>
              <w:rPr>
                <w:rFonts w:ascii="Aptos" w:cs="Aptos" w:eastAsia="Aptos" w:hAnsi="Aptos"/>
                <w:b/>
                <w:bCs/>
                <w:sz w:val="24"/>
                <w:szCs w:val="24"/>
              </w:rPr>
              <w:t xml:space="preserve">Classification: </w:t>
            </w:r>
            <w:r>
              <w:rPr>
                <w:rFonts w:ascii="Aptos" w:cs="Aptos" w:eastAsia="Aptos" w:hAnsi="Aptos"/>
                <w:sz w:val="24"/>
                <w:szCs w:val="24"/>
              </w:rPr>
              <w:t xml:space="preserve">Restricted / CJIS</w:t>
            </w:r>
          </w:p>
        </w:tc>
      </w:tr>
    </w:tbl>
    <w:p>
      <w:pPr>
        <w:pStyle w:val="Heading2"/>
      </w:pPr>
      <w:r>
        <w:t xml:space="preserve">1. Purpose</w:t>
      </w:r>
    </w:p>
    <w:p>
      <w:pPr>
        <w:spacing w:after="120"/>
      </w:pPr>
      <w:r>
        <w:rPr>
          <w:rFonts w:ascii="Aptos" w:cs="Aptos" w:eastAsia="Aptos" w:hAnsi="Aptos"/>
          <w:sz w:val="24"/>
          <w:szCs w:val="24"/>
        </w:rPr>
        <w:t xml:space="preserve">This agreement sets the terms under which Vendor B is granted access to Wabash Valley Communications systems or data, and the security obligations that access carries. It applies for the life of the vendor relationship and is retained as evidence that the obligations were accepted.</w:t>
      </w:r>
    </w:p>
    <w:p>
      <w:pPr>
        <w:pStyle w:val="Heading2"/>
      </w:pPr>
      <w:r>
        <w:t xml:space="preserve">2. Terms and Requirements</w:t>
      </w:r>
    </w:p>
    <w:p>
      <w:pPr>
        <w:pStyle w:val="ListParagraph"/>
        <w:numPr>
          <w:ilvl w:val="0"/>
          <w:numId w:val="300"/>
        </w:numPr>
        <w:spacing w:after="60"/>
      </w:pPr>
      <w:r>
        <w:rPr>
          <w:rFonts w:ascii="Aptos" w:cs="Aptos" w:eastAsia="Aptos" w:hAnsi="Aptos"/>
          <w:sz w:val="24"/>
          <w:szCs w:val="24"/>
        </w:rPr>
        <w:t xml:space="preserve">Access scope: Vendor B is granted access only to the systems, data, and functions listed in the Vendor &amp; Contractor Inventory entry, for the purpose of hosted ESInet and network monitoring services, and to no others.</w:t>
      </w:r>
    </w:p>
    <w:p>
      <w:pPr>
        <w:pStyle w:val="ListParagraph"/>
        <w:numPr>
          <w:ilvl w:val="0"/>
          <w:numId w:val="300"/>
        </w:numPr>
        <w:spacing w:after="60"/>
      </w:pPr>
      <w:r>
        <w:rPr>
          <w:rFonts w:ascii="Aptos" w:cs="Aptos" w:eastAsia="Aptos" w:hAnsi="Aptos"/>
          <w:sz w:val="24"/>
          <w:szCs w:val="24"/>
        </w:rPr>
        <w:t xml:space="preserve">Least privilege: Vendor B accounts carry only the privileges the service requires, and are disabled or removed when the task or engagement ends.</w:t>
      </w:r>
    </w:p>
    <w:p>
      <w:pPr>
        <w:pStyle w:val="ListParagraph"/>
        <w:numPr>
          <w:ilvl w:val="0"/>
          <w:numId w:val="300"/>
        </w:numPr>
        <w:spacing w:after="60"/>
      </w:pPr>
      <w:r>
        <w:rPr>
          <w:rFonts w:ascii="Aptos" w:cs="Aptos" w:eastAsia="Aptos" w:hAnsi="Aptos"/>
          <w:sz w:val="24"/>
          <w:szCs w:val="24"/>
        </w:rPr>
        <w:t xml:space="preserve">Authentication and connection: Vendor B personnel use multifactor authentication and connect only through the Agency’s approved remote-access methods, per the Remote Access Policy.</w:t>
      </w:r>
    </w:p>
    <w:p>
      <w:pPr>
        <w:pStyle w:val="ListParagraph"/>
        <w:numPr>
          <w:ilvl w:val="0"/>
          <w:numId w:val="300"/>
        </w:numPr>
        <w:spacing w:after="60"/>
      </w:pPr>
      <w:r>
        <w:rPr>
          <w:rFonts w:ascii="Aptos" w:cs="Aptos" w:eastAsia="Aptos" w:hAnsi="Aptos"/>
          <w:sz w:val="24"/>
          <w:szCs w:val="24"/>
        </w:rPr>
        <w:t xml:space="preserve">Personnel screening: Vendor B confirms that personnel with access have completed the background screening the Agency requires, and removes access for any individual who leaves the engagement.</w:t>
      </w:r>
    </w:p>
    <w:p>
      <w:pPr>
        <w:pStyle w:val="ListParagraph"/>
        <w:numPr>
          <w:ilvl w:val="0"/>
          <w:numId w:val="300"/>
        </w:numPr>
        <w:spacing w:after="60"/>
      </w:pPr>
      <w:r>
        <w:rPr>
          <w:rFonts w:ascii="Aptos" w:cs="Aptos" w:eastAsia="Aptos" w:hAnsi="Aptos"/>
          <w:sz w:val="24"/>
          <w:szCs w:val="24"/>
        </w:rPr>
        <w:t xml:space="preserve">Security practices: Vendor B maintains a documented information-security program, current patching, MFA for its own access, and encryption of Agency data in transit and at rest, and does not store, copy, or transmit Agency or CJIS data except as the service requires and this agreement permits.</w:t>
      </w:r>
    </w:p>
    <w:p>
      <w:pPr>
        <w:pStyle w:val="ListParagraph"/>
        <w:numPr>
          <w:ilvl w:val="0"/>
          <w:numId w:val="300"/>
        </w:numPr>
        <w:spacing w:after="60"/>
      </w:pPr>
      <w:r>
        <w:rPr>
          <w:rFonts w:ascii="Aptos" w:cs="Aptos" w:eastAsia="Aptos" w:hAnsi="Aptos"/>
          <w:sz w:val="24"/>
          <w:szCs w:val="24"/>
        </w:rPr>
        <w:t xml:space="preserve">Incident and breach notification: Vendor B notifies the Agency of any suspected security incident or data exposure affecting Agency systems or data without undue delay and no later than 24 hours. The Agency reports qualifying cyber incidents to the Indiana Office of Technology within two business days under HEA 1169.</w:t>
      </w:r>
    </w:p>
    <w:p>
      <w:pPr>
        <w:pStyle w:val="ListParagraph"/>
        <w:numPr>
          <w:ilvl w:val="0"/>
          <w:numId w:val="300"/>
        </w:numPr>
        <w:spacing w:after="60"/>
      </w:pPr>
      <w:r>
        <w:rPr>
          <w:rFonts w:ascii="Aptos" w:cs="Aptos" w:eastAsia="Aptos" w:hAnsi="Aptos"/>
          <w:sz w:val="24"/>
          <w:szCs w:val="24"/>
        </w:rPr>
        <w:t xml:space="preserve">Monitoring and audit: Vendor B consents to Agency logging and monitoring of its access, and to periodic review of its compliance with this agreement.</w:t>
      </w:r>
    </w:p>
    <w:p>
      <w:pPr>
        <w:pStyle w:val="ListParagraph"/>
        <w:numPr>
          <w:ilvl w:val="0"/>
          <w:numId w:val="300"/>
        </w:numPr>
        <w:spacing w:after="60"/>
      </w:pPr>
      <w:r>
        <w:rPr>
          <w:rFonts w:ascii="Aptos" w:cs="Aptos" w:eastAsia="Aptos" w:hAnsi="Aptos"/>
          <w:sz w:val="24"/>
          <w:szCs w:val="24"/>
        </w:rPr>
        <w:t xml:space="preserve">CJIS handling: where access reaches CJIS-regulated data (in Indiana, through IDACS), Vendor B complies with the FBI CJIS Security Policy, including personnel screening and security awareness training, in addition to the terms above.</w:t>
      </w:r>
    </w:p>
    <w:p>
      <w:pPr>
        <w:pStyle w:val="ListParagraph"/>
        <w:numPr>
          <w:ilvl w:val="0"/>
          <w:numId w:val="300"/>
        </w:numPr>
        <w:spacing w:after="60"/>
      </w:pPr>
      <w:r>
        <w:rPr>
          <w:rFonts w:ascii="Aptos" w:cs="Aptos" w:eastAsia="Aptos" w:hAnsi="Aptos"/>
          <w:sz w:val="24"/>
          <w:szCs w:val="24"/>
        </w:rPr>
        <w:t xml:space="preserve">Return and destruction: on termination, Vendor B returns or destroys Agency and CJIS data in its possession and confirms destruction in writing, per the Document Handling Standard.</w:t>
      </w:r>
    </w:p>
    <w:p>
      <w:pPr>
        <w:pStyle w:val="ListParagraph"/>
        <w:numPr>
          <w:ilvl w:val="0"/>
          <w:numId w:val="300"/>
        </w:numPr>
        <w:spacing w:after="60"/>
      </w:pPr>
      <w:r>
        <w:rPr>
          <w:rFonts w:ascii="Aptos" w:cs="Aptos" w:eastAsia="Aptos" w:hAnsi="Aptos"/>
          <w:sz w:val="24"/>
          <w:szCs w:val="24"/>
        </w:rPr>
        <w:t xml:space="preserve">Term and termination: this agreement remains in effect for two years and may be ended by either party on 60 days’ notice; the Agency may suspend access immediately for cause.</w:t>
      </w:r>
    </w:p>
    <w:p>
      <w:pPr>
        <w:pStyle w:val="Heading2"/>
      </w:pPr>
      <w:r>
        <w:t xml:space="preserve">3.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60"/>
        <w:gridCol w:w="2160"/>
        <w:gridCol w:w="1740"/>
        <w:gridCol w:w="1600"/>
      </w:tblGrid>
      <w:tr>
        <w:trPr>
          <w:cantSplit/>
        </w:trPr>
        <w:tc>
          <w:tcPr>
            <w:tcW w:type="dxa" w:w="1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Party</w:t>
            </w:r>
          </w:p>
        </w:tc>
        <w:tc>
          <w:tcPr>
            <w:tcW w:type="dxa" w:w="2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 / Title</w:t>
            </w:r>
          </w:p>
        </w:tc>
        <w:tc>
          <w:tcPr>
            <w:tcW w:type="dxa" w:w="17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Wabash Valley Communications (Agency)</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Vendor B (Vendor)</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Authorized representative</w:t>
            </w:r>
          </w:p>
        </w:tc>
        <w:tc>
          <w:tcPr>
            <w:tcW w:type="dxa" w:w="174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pPr>
      <w:r>
        <w:t xml:space="preserve">4. Retention</w:t>
      </w:r>
    </w:p>
    <w:p>
      <w:pPr>
        <w:spacing w:after="120"/>
      </w:pPr>
      <w:r>
        <w:rPr>
          <w:rFonts w:ascii="Aptos" w:cs="Aptos" w:eastAsia="Aptos" w:hAnsi="Aptos"/>
          <w:sz w:val="24"/>
          <w:szCs w:val="24"/>
        </w:rPr>
        <w:t xml:space="preserve">The signed original is kept by the Security Coordinator for the life of the vendor relationship plus three years, stored and handled per the Document Handling Standard. A copy is linked to the vendor’s entry in the Vendor &amp; Contractor Inventory.</w:t>
      </w:r>
    </w:p>
    <w:p>
      <w:pPr>
        <w:pStyle w:val="Heading2"/>
      </w:pPr>
      <w: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Medium (6–25, shared county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Shared county IT and the Security Coordinator track agreements against the Vendor &amp; Contractor Inventory and review them at renewal. Standard security terms are attached to each contract.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Source Authority</w:t>
            </w:r>
          </w:p>
          <w:p>
            <w:pPr>
              <w:spacing w:after="40"/>
            </w:pPr>
            <w:r>
              <w:rPr>
                <w:rFonts w:ascii="Aptos" w:cs="Aptos" w:eastAsia="Aptos" w:hAnsi="Aptos"/>
                <w:sz w:val="24"/>
                <w:szCs w:val="24"/>
              </w:rPr>
              <w:t xml:space="preserve">NENA-STA-040.2-2024: §5.2 (Security Assessments); §6.2.1 (Account Management)</w:t>
            </w:r>
          </w:p>
          <w:p>
            <w:pPr>
              <w:spacing w:after="40"/>
            </w:pPr>
            <w:r>
              <w:rPr>
                <w:rFonts w:ascii="Aptos" w:cs="Aptos" w:eastAsia="Aptos" w:hAnsi="Aptos"/>
                <w:sz w:val="24"/>
                <w:szCs w:val="24"/>
              </w:rPr>
              <w:t xml:space="preserve">NIST SP 800-53 Rev. 5: AC-20, CA-3, PS-7, SA-9, SR-3</w:t>
            </w:r>
          </w:p>
          <w:p>
            <w:pPr>
              <w:spacing w:after="40"/>
            </w:pPr>
            <w:r>
              <w:rPr>
                <w:rFonts w:ascii="Aptos" w:cs="Aptos" w:eastAsia="Aptos" w:hAnsi="Aptos"/>
                <w:sz w:val="24"/>
                <w:szCs w:val="24"/>
              </w:rPr>
              <w:t xml:space="preserve">Indiana statutes and administrative code: HEA 1169 (2021): Cyber Incident Reporting to IOT; 240 IAC 5: IDACS Security</w:t>
            </w:r>
          </w:p>
          <w:p>
            <w:pPr>
              <w:spacing w:after="0"/>
            </w:pPr>
            <w:r>
              <w:rPr>
                <w:rFonts w:ascii="Aptos" w:cs="Aptos" w:eastAsia="Aptos" w:hAnsi="Aptos"/>
                <w:sz w:val="24"/>
                <w:szCs w:val="24"/>
              </w:rPr>
              <w:t xml:space="preserve">CJIS Security Policy v5.9: §5.1 (Information Exchange Agreements); §5.12 (Personnel Security) (CJIS-regulated data in scope, via IDACS)</w:t>
            </w:r>
          </w:p>
        </w:tc>
      </w:tr>
    </w:tbl>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cantSplit/>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2026-03-05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issue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Seal"/>
          <wp:cNvGraphicFramePr>
            <a:graphicFrameLocks noChangeAspect="1"/>
          </wp:cNvGraphicFramePr>
          <a:graphic>
            <a:graphicData uri="http://schemas.openxmlformats.org/drawingml/2006/picture">
              <pic:pic>
                <pic:nvPicPr>
                  <pic:cNvPr id="0" name="seal.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7"/>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seal.png"/><Relationship Id="rId2"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2026-06-01T15:29:11.513Z</dcterms:created>
  <dcterms:modified xsi:type="dcterms:W3CDTF">2026-06-01T15:29:11.513Z</dcterms:modified>
  <dc:title xmlns:dc="http://purl.org/dc/elements/1.1/">Third-Party Access Agreement - EXAMPLE - M</dc:title>
</cp:coreProperties>
</file>

<file path=docProps/custom.xml><?xml version="1.0" encoding="utf-8"?>
<Properties xmlns="http://schemas.openxmlformats.org/officeDocument/2006/custom-properties" xmlns:vt="http://schemas.openxmlformats.org/officeDocument/2006/docPropsVTypes"/>
</file>