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1B3A5C"/>
          <w:sz w:val="40"/>
          <w:szCs w:val="40"/>
        </w:rPr>
        <w:t xml:space="preserve">Social Media &amp; External Communications Policy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Authority: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Adopted by </w:t>
            </w:r>
            <w:r>
              <w:rPr>
                <w:rFonts w:ascii="Aptos" w:cs="Aptos" w:eastAsia="Aptos" w:hAnsi="Aptos"/>
                <w:i w:val="false"/>
                <w:iCs w:val="false"/>
                <w:sz w:val="24"/>
                <w:szCs w:val="24"/>
              </w:rPr>
              <w:t>Wabash Valley Communications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under the authority of </w:t>
            </w:r>
            <w:r>
              <w:rPr>
                <w:rFonts w:ascii="Aptos" w:cs="Aptos" w:eastAsia="Aptos" w:hAnsi="Aptos"/>
                <w:i w:val="false"/>
                <w:iCs w:val="false"/>
                <w:sz w:val="24"/>
                <w:szCs w:val="24"/>
              </w:rPr>
              <w:t>the Executive Director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Version: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1.0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Effective Date: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2026-03-01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Next Review: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2027-03-01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Owner: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Security Coordinator</w:t>
            </w:r>
          </w:p>
          <w:p>
            <w:pPr>
              <w:spacing w:after="2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Classification: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Internal</w:t>
            </w:r>
          </w:p>
        </w:tc>
      </w:tr>
    </w:tbl>
    <w:p>
      <w:pPr>
        <w:spacing w:after="60"/>
      </w:pP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1. Purpose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This policy sets the rules for how personnel use social media and other external communications in ways that could touch the Agency, its operations, or non-public information. It extends the Acceptable Use Policy to public-facing and personal communications, so personal use does not expose the Agency’s information, people, or reputation.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2. Scope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Applies to: all employees, contractors, and volunteers, on or off duty, when their communications identify or affect the Agency.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Covers: personal and official use of social media, public posts and comments, messaging apps, and personal devices used to communicate about or connect to Agency systems or information.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Excludes: official public-information releases issued through the Agency’s designated spokesperson or PIO process, which follow their own approval path.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3. Definitions</w:t>
      </w:r>
    </w:p>
    <w:p>
      <w:pPr>
        <w:spacing w:after="60"/>
      </w:pPr>
      <w:r>
        <w:rPr>
          <w:rFonts w:ascii="Aptos" w:cs="Aptos" w:eastAsia="Aptos" w:hAnsi="Aptos"/>
          <w:b/>
          <w:bCs/>
          <w:sz w:val="24"/>
          <w:szCs w:val="24"/>
        </w:rPr>
        <w:t xml:space="preserve">Non-public information: </w:t>
      </w: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Agency information not approved for public release, including operational detail, CAD or incident data, personnel information, and anything classified Internal, Restricted, or Confidential.</w:t>
      </w:r>
    </w:p>
    <w:p>
      <w:pPr>
        <w:spacing w:after="60"/>
      </w:pPr>
      <w:r>
        <w:rPr>
          <w:rFonts w:ascii="Aptos" w:cs="Aptos" w:eastAsia="Aptos" w:hAnsi="Aptos"/>
          <w:b/>
          <w:bCs/>
          <w:sz w:val="24"/>
          <w:szCs w:val="24"/>
        </w:rPr>
        <w:t xml:space="preserve">Official account: </w:t>
      </w: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a social-media or communications account the Agency owns and operates in its own name.</w:t>
      </w:r>
    </w:p>
    <w:p>
      <w:pPr>
        <w:spacing w:after="60"/>
      </w:pPr>
      <w:r>
        <w:rPr>
          <w:rFonts w:ascii="Aptos" w:cs="Aptos" w:eastAsia="Aptos" w:hAnsi="Aptos"/>
          <w:b/>
          <w:bCs/>
          <w:sz w:val="24"/>
          <w:szCs w:val="24"/>
        </w:rPr>
        <w:t xml:space="preserve">Personal account: </w:t>
      </w: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any account an individual holds in a personal capacity, even if it mentions or is associated with the Agency.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4. Policy Statement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Personnel do not post non-public Agency information to any social media or external channel, in any form, including photos, screenshots, locations, or details of calls and operations.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Personnel keep personal and Agency roles separate. A personal account does not speak for the Agency, and personnel make clear that personal views are their own.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Personnel do not represent the Agency or issue statements on its behalf unless authorized through the Agency’s public-information process.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Personal devices used to access or communicate about Agency systems or information follow the Acceptable Use Policy, the Mobile Device Management (MDM) Policy, and the Remote Access Policy.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Personnel do not connect personal devices to restricted Agency networks except as those policies allow.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Personnel report any accidental disclosure of non-public information, and any online impersonation of or threat against the Agency or its staff, through the incident-reporting process.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5. Roles &amp;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Responsibility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Director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Owns this policy, approves official accounts and spokespersons, and decides exceptions.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County IT (shared)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Advises on technical controls for personal-device and network access, and supports investigation of online disclosures or impersonation.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Shift Supervisor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Reinforces these rules on shift and is a first point of contact when a posting or disclosure concern arises.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All personnel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Follow these rules on and off duty, keep personal and Agency roles separate, and report disclosures or impersonation promptly.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6. Enforcement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The Director monitors compliance. Violations are handled under the Acceptable Use Policy’s corrective process. A post that discloses non-public information or endangers staff or operations is treated as a security incident.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7. Exceptions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An exception, such as an approved outreach campaign or a designated account, is requested in writing, granted by the Director, recorded with a scope and end date, and reviewed at least annually.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8. Review Schedule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This policy is reviewed at least annually and after any significant change, by the Security Coordinator.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Medium (6–25, shared county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 designated coordinator manages official accounts and approves outreach. Reminders go out with other security messaging, and supervisors reinforce the rules on shift.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Source Authority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NENA-STA-040.2-2024: §4.1.2, §4.2.5, §5.1.1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NIST SP 800-53 Rev. 5: AC-22, AT-2, PL-4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Approval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Executive Director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Security Coordinator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1.0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2026-03-01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Security Coordinator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Initial issue</w:t>
            </w:r>
          </w:p>
        </w:tc>
      </w:tr>
    </w:tbl>
    <w:p>
      <w:pPr>
        <w:spacing w:after="6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drawing>
        <wp:inline xmlns:a="http://schemas.openxmlformats.org/drawingml/2006/main" xmlns:pic="http://schemas.openxmlformats.org/drawingml/2006/picture">
          <wp:extent cx="777240" cy="7772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eal_M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777240"/>
                  </a:xfrm>
                  <a:prstGeom prst="rect"/>
                </pic:spPr>
              </pic:pic>
            </a:graphicData>
          </a:graphic>
        </wp:inline>
      </w:drawing>
    </w:r>
  </w:p>
  <w:p>
    <w:pPr>
      <w:pBdr>
        <w:bottom w:val="single" w:color="1B3A5C" w:sz="6" w:space="2"/>
      </w:pBdr>
      <w:jc w:val="right"/>
    </w:pPr>
    <w:r>
      <w:rPr>
        <w:rFonts w:ascii="Aptos" w:cs="Aptos" w:eastAsia="Aptos" w:hAnsi="Aptos"/>
        <w:color w:val="595959"/>
        <w:sz w:val="16"/>
        <w:szCs w:val="16"/>
      </w:rPr>
    </w:r>
  </w:p>
  <w:p>
    <w:r>
      <w:drawing>
        <wp:anchor xmlns:a="http://schemas.openxmlformats.org/drawingml/2006/main" behindDoc="1" distT="0" distB="0" distL="0" distR="0" simplePos="0" locked="0" layoutInCell="1" allowOverlap="1" relativeHeight="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5943600" cy="5943600"/>
          <wp:effectExtent l="0" t="0" r="0" b="0"/>
          <wp:wrapNone/>
          <wp:docPr id="990" name="SampleWatermark"/>
          <wp:cNvGraphicFramePr/>
          <a:graphic xmlns:pic="http://schemas.openxmlformats.org/drawingml/2006/picture">
            <a:graphicData uri="http://schemas.openxmlformats.org/drawingml/2006/picture">
              <pic:pic>
                <pic:nvPicPr>
                  <pic:cNvPr id="0" name="_sample_wm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943600" cy="59436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220"/>
      <w:outlineLvl w:val="2"/>
    </w:pPr>
    <w:rPr>
      <w:rFonts w:ascii="Aptos" w:cs="Aptos" w:eastAsia="Aptos" w:hAnsi="Aptos"/>
      <w:b/>
      <w:bCs/>
      <w:color w:val="1B3A5C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after="100" w:before="220"/>
      <w:outlineLvl w:val="3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after="100" w:before="220"/>
      <w:outlineLvl w:val="4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keepLines/>
      <w:spacing w:after="100" w:before="220"/>
      <w:outlineLvl w:val="5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911 Authority in partnership with IN911</dc:creator>
  <cp:lastModifiedBy/>
  <cp:revision>1</cp:revision>
  <dcterms:created xsi:type="dcterms:W3CDTF">2026-06-01T15:29:11.401Z</dcterms:created>
  <dcterms:modified xsi:type="dcterms:W3CDTF">2026-06-01T15:29:11.401Z</dcterms:modified>
  <dc:title xmlns:dc="http://purl.org/dc/elements/1.1/">Social Media &amp; External Communications Policy - EXAMPLE - M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