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Social Media &amp; External Communications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Hickory County 911</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the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2026-02-15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2027-02-15</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Director</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Internal</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 xml:space="preserve">This policy sets the rules for how personnel use social media and other external communications in ways that could touch the Agency, its operations, or non-public information. It extends the Acceptable Use Policy to public-facing and personal communications, so personal use does not expose the Agency’s information, people, or reputation.</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all employees, contractors, and volunteers, on or off duty, when their communications identify or affect the Agency.</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personal and official use of social media, public posts and comments, messaging apps, and personal devices used to communicate about or connect to Agency systems or information.</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official public-information releases issued through the Agency’s designated spokesperson or PIO process, which follow their own approval path.</w:t>
      </w:r>
    </w:p>
    <w:p>
      <w:pPr>
        <w:pStyle w:val="Heading2"/>
        <w:spacing w:after="100" w:before="220"/>
      </w:pPr>
      <w:r>
        <w:rPr>
          <w:rFonts w:ascii="Aptos" w:cs="Aptos" w:eastAsia="Aptos" w:hAnsi="Aptos"/>
          <w:b/>
          <w:bCs/>
          <w:color w:val="1B3A5C"/>
          <w:sz w:val="26"/>
          <w:szCs w:val="26"/>
        </w:rPr>
        <w:t xml:space="preserve">3. Definitions</w:t>
      </w:r>
    </w:p>
    <w:p>
      <w:pPr>
        <w:spacing w:after="60"/>
      </w:pPr>
      <w:r>
        <w:rPr>
          <w:rFonts w:ascii="Aptos" w:cs="Aptos" w:eastAsia="Aptos" w:hAnsi="Aptos"/>
          <w:b/>
          <w:bCs/>
          <w:sz w:val="24"/>
          <w:szCs w:val="24"/>
        </w:rPr>
        <w:t xml:space="preserve">Non-public information: </w:t>
      </w:r>
      <w:r>
        <w:rPr>
          <w:rFonts w:ascii="Aptos" w:cs="Aptos" w:eastAsia="Aptos" w:hAnsi="Aptos"/>
          <w:b w:val="false"/>
          <w:bCs w:val="false"/>
          <w:i w:val="false"/>
          <w:iCs w:val="false"/>
          <w:sz w:val="24"/>
          <w:szCs w:val="24"/>
        </w:rPr>
        <w:t xml:space="preserve">Agency information not approved for public release, including operational detail, CAD or incident data, personnel information, and anything classified Internal, Restricted, or Confidential.</w:t>
      </w:r>
    </w:p>
    <w:p>
      <w:pPr>
        <w:spacing w:after="60"/>
      </w:pPr>
      <w:r>
        <w:rPr>
          <w:rFonts w:ascii="Aptos" w:cs="Aptos" w:eastAsia="Aptos" w:hAnsi="Aptos"/>
          <w:b/>
          <w:bCs/>
          <w:sz w:val="24"/>
          <w:szCs w:val="24"/>
        </w:rPr>
        <w:t xml:space="preserve">Official account: </w:t>
      </w:r>
      <w:r>
        <w:rPr>
          <w:rFonts w:ascii="Aptos" w:cs="Aptos" w:eastAsia="Aptos" w:hAnsi="Aptos"/>
          <w:b w:val="false"/>
          <w:bCs w:val="false"/>
          <w:i w:val="false"/>
          <w:iCs w:val="false"/>
          <w:sz w:val="24"/>
          <w:szCs w:val="24"/>
        </w:rPr>
        <w:t xml:space="preserve">a social-media or communications account the Agency owns and operates in its own name.</w:t>
      </w:r>
    </w:p>
    <w:p>
      <w:pPr>
        <w:spacing w:after="60"/>
      </w:pPr>
      <w:r>
        <w:rPr>
          <w:rFonts w:ascii="Aptos" w:cs="Aptos" w:eastAsia="Aptos" w:hAnsi="Aptos"/>
          <w:b/>
          <w:bCs/>
          <w:sz w:val="24"/>
          <w:szCs w:val="24"/>
        </w:rPr>
        <w:t xml:space="preserve">Personal account: </w:t>
      </w:r>
      <w:r>
        <w:rPr>
          <w:rFonts w:ascii="Aptos" w:cs="Aptos" w:eastAsia="Aptos" w:hAnsi="Aptos"/>
          <w:b w:val="false"/>
          <w:bCs w:val="false"/>
          <w:i w:val="false"/>
          <w:iCs w:val="false"/>
          <w:sz w:val="24"/>
          <w:szCs w:val="24"/>
        </w:rPr>
        <w:t xml:space="preserve">any account an individual holds in a personal capacity, even if it mentions or is associated with the Agency.</w:t>
      </w:r>
    </w:p>
    <w:p>
      <w:pPr>
        <w:pStyle w:val="Heading2"/>
        <w:spacing w:after="100" w:before="220"/>
      </w:pPr>
      <w:r>
        <w:rPr>
          <w:rFonts w:ascii="Aptos" w:cs="Aptos" w:eastAsia="Aptos" w:hAnsi="Aptos"/>
          <w:b/>
          <w:bCs/>
          <w:color w:val="1B3A5C"/>
          <w:sz w:val="26"/>
          <w:szCs w:val="26"/>
        </w:rPr>
        <w:t xml:space="preserve">4. Policy Statement</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do not post non-public Agency information to any social media or external channel, in any form, including photos, screenshots, locations, or details of calls and operations.</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keep personal and Agency roles separate. A personal account does not speak for the Agency, and personnel make clear that personal views are their own.</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do not represent the Agency or issue statements on its behalf unless authorized through the Agency’s public-information process.</w:t>
      </w:r>
    </w:p>
    <w:p>
      <w:pPr>
        <w:pStyle w:val="ListParagraph"/>
        <w:numPr>
          <w:ilvl w:val="0"/>
          <w:numId w:val="3"/>
        </w:numPr>
        <w:spacing w:after="60"/>
      </w:pPr>
      <w:r>
        <w:rPr>
          <w:rFonts w:ascii="Aptos" w:cs="Aptos" w:eastAsia="Aptos" w:hAnsi="Aptos"/>
          <w:b w:val="false"/>
          <w:bCs w:val="false"/>
          <w:i w:val="false"/>
          <w:iCs w:val="false"/>
          <w:sz w:val="24"/>
          <w:szCs w:val="24"/>
        </w:rPr>
        <w:t xml:space="preserve">Personal devices used to access or communicate about Agency systems or information follow the Acceptable Use Policy, the Mobile Device Management (MDM) Policy, and the Remote Access Policy.</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do not connect personal devices to restricted Agency networks except as those policies allow.</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report any accidental disclosure of non-public information, and any online impersonation of or threat against the Agency or its staff, through the incident-reporting process.</w:t>
      </w:r>
    </w:p>
    <w:p>
      <w:pPr>
        <w:pStyle w:val="Heading2"/>
        <w:spacing w:after="100" w:before="220"/>
      </w:pPr>
      <w:r>
        <w:rPr>
          <w:rFonts w:ascii="Aptos" w:cs="Aptos" w:eastAsia="Aptos" w:hAnsi="Aptos"/>
          <w:b/>
          <w:bCs/>
          <w:color w:val="1B3A5C"/>
          <w:sz w:val="26"/>
          <w:szCs w:val="26"/>
        </w:rPr>
        <w:t xml:space="preserve">5.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Owns this policy, approves official accounts and spokespersons, and decides exceptions.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County IT (courthouse, shared)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Advises on technical controls for personal-device and network access, and supports investigation of online disclosures or impersonation.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Lead Dispatcher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Reinforces these rules on shift and is a first point of contact when a posting or disclosure concern arises.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Follow these rules on and off duty, keep personal and Agency roles separate, and report disclosures or impersonation promptly.</w:t>
            </w:r>
          </w:p>
        </w:tc>
      </w:tr>
    </w:tbl>
    <w:p>
      <w:pPr>
        <w:pStyle w:val="Heading2"/>
        <w:spacing w:after="100" w:before="220"/>
      </w:pPr>
      <w:r>
        <w:rPr>
          <w:rFonts w:ascii="Aptos" w:cs="Aptos" w:eastAsia="Aptos" w:hAnsi="Aptos"/>
          <w:b/>
          <w:bCs/>
          <w:color w:val="1B3A5C"/>
          <w:sz w:val="26"/>
          <w:szCs w:val="26"/>
        </w:rPr>
        <w:t xml:space="preserve">6. Enforcement</w:t>
      </w:r>
    </w:p>
    <w:p>
      <w:pPr>
        <w:spacing w:after="120" w:before="0"/>
      </w:pPr>
      <w:r>
        <w:rPr>
          <w:rFonts w:ascii="Aptos" w:cs="Aptos" w:eastAsia="Aptos" w:hAnsi="Aptos"/>
          <w:b w:val="false"/>
          <w:bCs w:val="false"/>
          <w:i w:val="false"/>
          <w:iCs w:val="false"/>
          <w:sz w:val="24"/>
          <w:szCs w:val="24"/>
        </w:rPr>
        <w:t>The Director monitors compliance. Violations are handled under the Acceptable Use Policy’s corrective process. A post that discloses non-public information or endangers staff or operations is treated as a security incident.</w:t>
      </w:r>
    </w:p>
    <w:p>
      <w:pPr>
        <w:pStyle w:val="Heading2"/>
        <w:spacing w:after="100" w:before="220"/>
      </w:pPr>
      <w:r>
        <w:rPr>
          <w:rFonts w:ascii="Aptos" w:cs="Aptos" w:eastAsia="Aptos" w:hAnsi="Aptos"/>
          <w:b/>
          <w:bCs/>
          <w:color w:val="1B3A5C"/>
          <w:sz w:val="26"/>
          <w:szCs w:val="26"/>
        </w:rPr>
        <w:t xml:space="preserve">7. Exceptions</w:t>
      </w:r>
    </w:p>
    <w:p>
      <w:pPr>
        <w:spacing w:after="120" w:before="0"/>
      </w:pPr>
      <w:r>
        <w:rPr>
          <w:rFonts w:ascii="Aptos" w:cs="Aptos" w:eastAsia="Aptos" w:hAnsi="Aptos"/>
          <w:b w:val="false"/>
          <w:bCs w:val="false"/>
          <w:i w:val="false"/>
          <w:iCs w:val="false"/>
          <w:sz w:val="24"/>
          <w:szCs w:val="24"/>
        </w:rPr>
        <w:t>An exception, such as an approved outreach campaign or a designated account, is requested in writing, granted by the Director, recorded with a scope and end date, and reviewed at least annually.</w:t>
      </w:r>
    </w:p>
    <w:p>
      <w:pPr>
        <w:pStyle w:val="Heading2"/>
        <w:spacing w:after="100" w:before="220"/>
      </w:pPr>
      <w:r>
        <w:rPr>
          <w:rFonts w:ascii="Aptos" w:cs="Aptos" w:eastAsia="Aptos" w:hAnsi="Aptos"/>
          <w:b/>
          <w:bCs/>
          <w:color w:val="1B3A5C"/>
          <w:sz w:val="26"/>
          <w:szCs w:val="26"/>
        </w:rPr>
        <w:t xml:space="preserve">8. Review Schedule</w:t>
      </w:r>
    </w:p>
    <w:p>
      <w:pPr>
        <w:spacing w:after="120" w:before="0"/>
      </w:pPr>
      <w:r>
        <w:rPr>
          <w:rFonts w:ascii="Aptos" w:cs="Aptos" w:eastAsia="Aptos" w:hAnsi="Aptos"/>
          <w:b w:val="false"/>
          <w:bCs w:val="false"/>
          <w:i w:val="false"/>
          <w:iCs w:val="false"/>
          <w:sz w:val="24"/>
          <w:szCs w:val="24"/>
        </w:rPr>
        <w:t>This policy is reviewed at least annually and after any significant change, by the Director.</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director sets the rules in plain terms, covers them at hire and in periodic reminders, and approves any official account personally. With no PIO, the director is the Agency’s single voice.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 xml:space="preserve">NENA-STA-040.2-2024: §4.1.2, §4.2.5, §5.1.1</w:t>
            </w:r>
          </w:p>
          <w:p>
            <w:pPr>
              <w:spacing w:after="40" w:before="0"/>
            </w:pPr>
            <w:r>
              <w:rPr>
                <w:rFonts w:ascii="Aptos" w:cs="Aptos" w:eastAsia="Aptos" w:hAnsi="Aptos"/>
                <w:b w:val="false"/>
                <w:bCs w:val="false"/>
                <w:i w:val="false"/>
                <w:iCs w:val="false"/>
                <w:sz w:val="24"/>
                <w:szCs w:val="24"/>
              </w:rPr>
              <w:t xml:space="preserve">NIST SP 800-53 Rev. 5: AC-22, AT-2, PL-4</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2026-02-15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Social Media &amp; External Communications Policy - EXAMPLE - S</dc:title>
</cp:coreProperties>
</file>

<file path=docProps/custom.xml><?xml version="1.0" encoding="utf-8"?>
<Properties xmlns="http://schemas.openxmlformats.org/officeDocument/2006/custom-properties" xmlns:vt="http://schemas.openxmlformats.org/officeDocument/2006/docPropsVTypes"/>
</file>