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Session Monitoring Configuration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Tracy Holloway,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2027-02-10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Restricted / CJIS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session-capture settings on the Agency's access systems: which session events are recorded, the timeout values as configured, and the alerting for unusual behavior. Scope is session capture on access systems (workstations, call-handling, and remote access). The central monitoring platform is documented in the SIEM / Monitoring Tool Configuration Records. This record implements the Session Management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Dispatch workstations and CAD access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on-prem (co-located with the sheriff's office)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AST-014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events recorded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Windows and CAD sign-in, sign-out, failed logins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 the Session Management Policy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Idle lock timeout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15 minutes (workstations)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Single system type; screen lock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termination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 sign-out; lock on idle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Reauthentication to resume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Anomaly alerting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None automated; monthly log review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 reviews the available logs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SBC session recording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 (no session border controller; carrier trunk)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 SBC in this configuration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Idle lock timeout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15 minutes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Validated against the Session Management Policy at least annually by the County IT; timeout changes and new monitored events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 central tooling. Record the lock and timeout settings the workstations and CAD already enforce and where their session logs are kept. The manual equivalent is a documented periodic check that lock and timeout are on and that logins trace to individuals.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§5.6.2 (Security Event Logging)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AC-11, AC-12, AU-2, AU-3, AU-6, AU-12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CJIS Security Policy v5.9: §5.4 (Auditing and Accountability) (where IDACS-connected sessions are in scope)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Session Monitoring Configuration Records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