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Standards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Tri-River Regional 911 Center</w:t>
            </w:r>
            <w:r>
              <w:rPr>
                <w:rFonts w:ascii="Aptos" w:cs="Aptos" w:eastAsia="Aptos" w:hAnsi="Aptos"/>
                <w:sz w:val="24"/>
                <w:szCs w:val="24"/>
              </w:rPr>
              <w:t xml:space="preserve"> under the authority of </w:t>
            </w:r>
            <w:r>
              <w:rPr>
                <w:rFonts w:ascii="Aptos" w:cs="Aptos" w:eastAsia="Aptos" w:hAnsi="Aptos"/>
                <w:sz w:val="24"/>
                <w:szCs w:val="24"/>
              </w:rPr>
              <w:t xml:space="preserve">the Tri-River Regional 911 Governing Board</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1.0    </w:t>
            </w:r>
            <w:r>
              <w:rPr>
                <w:rFonts w:ascii="Aptos" w:cs="Aptos" w:eastAsia="Aptos" w:hAnsi="Aptos"/>
                <w:b/>
                <w:sz w:val="24"/>
                <w:szCs w:val="24"/>
              </w:rPr>
              <w:t xml:space="preserve">Effective Date: </w:t>
            </w:r>
            <w:r>
              <w:rPr>
                <w:rFonts w:ascii="Aptos" w:cs="Aptos" w:eastAsia="Aptos" w:hAnsi="Aptos"/>
                <w:sz w:val="24"/>
                <w:szCs w:val="24"/>
              </w:rPr>
              <w:t xml:space="preserve">January 20, 2026    </w:t>
            </w:r>
            <w:r>
              <w:rPr>
                <w:rFonts w:ascii="Aptos" w:cs="Aptos" w:eastAsia="Aptos" w:hAnsi="Aptos"/>
                <w:b/>
                <w:sz w:val="24"/>
                <w:szCs w:val="24"/>
              </w:rPr>
              <w:t xml:space="preserve">Next Review: </w:t>
            </w:r>
            <w:r>
              <w:rPr>
                <w:rFonts w:ascii="Aptos" w:cs="Aptos" w:eastAsia="Aptos" w:hAnsi="Aptos"/>
                <w:sz w:val="24"/>
                <w:szCs w:val="24"/>
              </w:rPr>
              <w:t xml:space="preserve">January 20, 2027</w:t>
            </w:r>
          </w:p>
          <w:p>
            <w:pPr>
              <w:spacing w:after="60"/>
            </w:pPr>
            <w:r>
              <w:rPr>
                <w:rFonts w:ascii="Aptos" w:cs="Aptos" w:eastAsia="Aptos" w:hAnsi="Aptos"/>
                <w:b/>
                <w:sz w:val="24"/>
                <w:szCs w:val="24"/>
              </w:rPr>
              <w:t xml:space="preserve">Owner: </w:t>
            </w:r>
            <w:r>
              <w:rPr>
                <w:rFonts w:ascii="Aptos" w:cs="Aptos" w:eastAsia="Aptos" w:hAnsi="Aptos"/>
                <w:sz w:val="24"/>
                <w:szCs w:val="24"/>
              </w:rPr>
              <w:t xml:space="preserve">Information Security Analyst   </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Restricted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standard sets the cryptographic requirements the Agency uses to protect sensitive data at rest and in transit. It names the algorithms, protocols, and minimum key lengths that are approved and the ones that are prohibited. It implements the Encryption Policy: the Policy sets the obligation to encrypt, this standard sets how. As-built proof that these requirements are met is recorded in the Encryption Implementation Verification Records.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systems and data stores that hold or transmit sensitive data, and the personnel and vendors who configure them.</w:t>
      </w:r>
    </w:p>
    <w:p>
      <w:pPr>
        <w:pStyle w:val="ListParagraph"/>
        <w:numPr>
          <w:ilvl w:val="0"/>
          <w:numId w:val="2"/>
        </w:numPr>
        <w:spacing w:after="60"/>
      </w:pPr>
      <w:r>
        <w:rPr>
          <w:rFonts w:ascii="Aptos" w:cs="Aptos" w:eastAsia="Aptos" w:hAnsi="Aptos"/>
          <w:b/>
          <w:sz w:val="24"/>
          <w:szCs w:val="24"/>
        </w:rPr>
        <w:t xml:space="preserve">Implements: </w:t>
      </w:r>
      <w:r>
        <w:rPr>
          <w:rFonts w:ascii="Aptos" w:cs="Aptos" w:eastAsia="Aptos" w:hAnsi="Aptos"/>
          <w:sz w:val="24"/>
          <w:szCs w:val="24"/>
        </w:rPr>
        <w:t xml:space="preserve">Encryption Policy.</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systems holding only Internal or Public data with no encryption duty.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00"/>
        </w:numPr>
        <w:spacing w:after="60"/>
      </w:pPr>
      <w:r>
        <w:rPr>
          <w:rFonts w:ascii="Aptos" w:cs="Aptos" w:eastAsia="Aptos" w:hAnsi="Aptos"/>
          <w:sz w:val="24"/>
          <w:szCs w:val="24"/>
        </w:rPr>
        <w:t xml:space="preserve">Data at rest: sensitive data shall be encrypted using AES with a 256-bit key (AES-256). Full-disk or volume encryption shall protect endpoints, servers, and removable media that hold sensitive data.</w:t>
      </w:r>
    </w:p>
    <w:p>
      <w:pPr>
        <w:pStyle w:val="ListParagraph"/>
        <w:numPr>
          <w:ilvl w:val="0"/>
          <w:numId w:val="300"/>
        </w:numPr>
        <w:spacing w:after="60"/>
      </w:pPr>
      <w:r>
        <w:rPr>
          <w:rFonts w:ascii="Aptos" w:cs="Aptos" w:eastAsia="Aptos" w:hAnsi="Aptos"/>
          <w:sz w:val="24"/>
          <w:szCs w:val="24"/>
        </w:rPr>
        <w:t xml:space="preserve">Data in transit: sensitive data crossing any network the Agency does not control shall be encrypted with TLS 1.2 or higher; TLS 1.3 is preferred. Server and service certificates shall be valid, trusted, and unexpired.</w:t>
      </w:r>
    </w:p>
    <w:p>
      <w:pPr>
        <w:pStyle w:val="ListParagraph"/>
        <w:numPr>
          <w:ilvl w:val="0"/>
          <w:numId w:val="300"/>
        </w:numPr>
        <w:spacing w:after="60"/>
      </w:pPr>
      <w:r>
        <w:rPr>
          <w:rFonts w:ascii="Aptos" w:cs="Aptos" w:eastAsia="Aptos" w:hAnsi="Aptos"/>
          <w:sz w:val="24"/>
          <w:szCs w:val="24"/>
        </w:rPr>
        <w:t xml:space="preserve">Voice and real-time media: SIP signaling and RTP media carrying sensitive call content shall be encrypted (for example, SIP over TLS and SRTP) where the systems and connected providers support it.</w:t>
      </w:r>
    </w:p>
    <w:p>
      <w:pPr>
        <w:pStyle w:val="ListParagraph"/>
        <w:numPr>
          <w:ilvl w:val="0"/>
          <w:numId w:val="300"/>
        </w:numPr>
        <w:spacing w:after="60"/>
      </w:pPr>
      <w:r>
        <w:rPr>
          <w:rFonts w:ascii="Aptos" w:cs="Aptos" w:eastAsia="Aptos" w:hAnsi="Aptos"/>
          <w:sz w:val="24"/>
          <w:szCs w:val="24"/>
        </w:rPr>
        <w:t xml:space="preserve">Validated modules: cryptography that protects CJIS-regulated data shall use FIPS 140-2 or FIPS 140-3 validated modules, per CJIS Security Policy v5.9 §5.10.1.2.</w:t>
      </w:r>
    </w:p>
    <w:p>
      <w:pPr>
        <w:pStyle w:val="ListParagraph"/>
        <w:numPr>
          <w:ilvl w:val="0"/>
          <w:numId w:val="300"/>
        </w:numPr>
        <w:spacing w:after="60"/>
      </w:pPr>
      <w:r>
        <w:rPr>
          <w:rFonts w:ascii="Aptos" w:cs="Aptos" w:eastAsia="Aptos" w:hAnsi="Aptos"/>
          <w:sz w:val="24"/>
          <w:szCs w:val="24"/>
        </w:rPr>
        <w:t xml:space="preserve">Key strength: symmetric keys shall be at least 256-bit; RSA keys at least 2048-bit; elliptic-curve keys at least 256-bit; hashing shall use SHA-256 or stronger.</w:t>
      </w:r>
    </w:p>
    <w:p>
      <w:pPr>
        <w:pStyle w:val="ListParagraph"/>
        <w:numPr>
          <w:ilvl w:val="0"/>
          <w:numId w:val="300"/>
        </w:numPr>
        <w:spacing w:after="60"/>
      </w:pPr>
      <w:r>
        <w:rPr>
          <w:rFonts w:ascii="Aptos" w:cs="Aptos" w:eastAsia="Aptos" w:hAnsi="Aptos"/>
          <w:sz w:val="24"/>
          <w:szCs w:val="24"/>
        </w:rPr>
        <w:t xml:space="preserve">Prohibited cryptography: the algorithms and protocols listed as Prohibited below shall not be used, and deprecated protocols and weak ciphers shall be disabled on every system in scope.</w:t>
      </w:r>
    </w:p>
    <w:p>
      <w:pPr>
        <w:pStyle w:val="ListParagraph"/>
        <w:numPr>
          <w:ilvl w:val="0"/>
          <w:numId w:val="300"/>
        </w:numPr>
        <w:spacing w:after="60"/>
      </w:pPr>
      <w:r>
        <w:rPr>
          <w:rFonts w:ascii="Aptos" w:cs="Aptos" w:eastAsia="Aptos" w:hAnsi="Aptos"/>
          <w:sz w:val="24"/>
          <w:szCs w:val="24"/>
        </w:rPr>
        <w:t xml:space="preserve">Key management: keys and certificates supporting these algorithms are generated, stored, rotated, and revoked under the Key &amp; Certificate Management Policy.</w:t>
      </w:r>
    </w:p>
    <w:p>
      <w:pPr>
        <w:pStyle w:val="ListParagraph"/>
        <w:numPr>
          <w:ilvl w:val="0"/>
          <w:numId w:val="300"/>
        </w:numPr>
        <w:spacing w:after="60"/>
      </w:pPr>
      <w:r>
        <w:rPr>
          <w:rFonts w:ascii="Aptos" w:cs="Aptos" w:eastAsia="Aptos" w:hAnsi="Aptos"/>
          <w:sz w:val="24"/>
          <w:szCs w:val="24"/>
        </w:rPr>
        <w:t xml:space="preserve">Validation: the Agency shall test that approved cryptography is in use and prohibited cryptography is disabled, and record the result in the Encryption Implementation Verification Records.</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Category</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Symmetric 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AES-256 (GCM or CBC)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 3DES, RC4, Blowfish</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Key exchange and signatures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2048-bit or larger; ECDH or ECDSA 256-bit or larger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smaller than 2048-bit; static or anonymous Diffie-Hellman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Hashing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SHA-256, SHA-384, SHA-512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MD5, SHA-1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Transport (TLS)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TLS 1.2, TLS 1.3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SSL 2.0, SSL 3.0, TLS 1.0, TLS 1.1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Voice and real-time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SIP over TLS, SRTP with AES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Unencrypted SIP or RTP for sensitive call content</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sz w:val="24"/>
          <w:szCs w:val="24"/>
        </w:rPr>
        <w:t xml:space="preserve">A deviation (for example, a legacy system that cannot meet a requirement) requires written approval from the Executive Director, a stated compensating control, and a recorded review date. Deviations are tracked in the Risk / Finding Register and expire on the review date unless renewed.</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sz w:val="24"/>
          <w:szCs w:val="24"/>
        </w:rPr>
        <w:t xml:space="preserve">This standard is reviewed at least annually and whenever a cryptographic algorithm or protocol it lists is deprecated or strengthened, by the Information Security Analyst.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Enforce the approved and prohibited lists through managed configuration and automated scanning, with exceptions tracked centrally.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§6.22, §6.23, §6.23.4, §6.23.6, §6.23.7</w:t>
            </w:r>
          </w:p>
          <w:p>
            <w:pPr>
              <w:spacing w:after="40" w:before="0"/>
            </w:pPr>
            <w:r>
              <w:rPr>
                <w:rFonts w:ascii="Aptos" w:cs="Aptos" w:eastAsia="Aptos" w:hAnsi="Aptos"/>
                <w:i/>
                <w:sz w:val="24"/>
                <w:szCs w:val="24"/>
              </w:rPr>
              <w:t xml:space="preserve">NIST SP 800-53 Rev. 5: IA-7,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(FIPS-validated cryptography for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Encryption Standards Document - EXAMPLE - L</dc:title>
</cp:coreProperties>
</file>

<file path=docProps/custom.xml><?xml version="1.0" encoding="utf-8"?>
<Properties xmlns="http://schemas.openxmlformats.org/officeDocument/2006/custom-properties" xmlns:vt="http://schemas.openxmlformats.org/officeDocument/2006/docPropsVTypes"/>
</file>