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DNS Security Configuration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2027-03-05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Shared county IT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security configuration of the Agency's DNS: separation of authoritative and recursive services, DNSSEC or encrypted DNS, the secure configuration baseline, authentication for DNS administrators, and DNS query and change logging. It pairs with the DNS Filtering Policy; DNS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recursive resolvers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data center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AST-046</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 separation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Recursive resolvers separate from any authoritative role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Distinct hosts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Protective protocol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DNSSEC validation enabled; DoH for clients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 enabled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Secure baseline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Hardened per baseline; risky features disabled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 baseline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authentication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MFA for DNS admins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See MFA Implementation Record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Query and change logging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 logs forwarded to the central store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 on a cadence</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DNSSEC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Validation enabled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secure baseline at least semi-annually by the Shared county IT; configuration changes run through the Change Management Policy and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records DNS separation, enables DNSSEC or encrypted DNS where supported, limits and logs admin access, and forwards DNS logs centrally.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SC-20, SC-21, SC-22, AU-12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DNS Security Configuration Record - EXAMPLE - M</dc:title>
</cp:coreProperties>
</file>

<file path=docProps/custom.xml><?xml version="1.0" encoding="utf-8"?>
<Properties xmlns="http://schemas.openxmlformats.org/officeDocument/2006/custom-properties" xmlns:vt="http://schemas.openxmlformats.org/officeDocument/2006/docPropsVTypes"/>
</file>