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DNS Security Configuration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 xml:space="preserve">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 xml:space="preserve">Tracy Holloway,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2026-02-10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2027-02-10</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County IT   </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tc>
      </w:tr>
    </w:tbl>
    <w:p>
      <w:pPr>
        <w:pStyle w:val="Heading2"/>
        <w:spacing w:after="100" w:before="220"/>
      </w:pPr>
      <w:r>
        <w:rPr>
          <w:rFonts w:ascii="Aptos" w:cs="Aptos" w:eastAsia="Aptos" w:hAnsi="Aptos"/>
          <w:b/>
          <w:bCs/>
          <w:color w:val="1B3A5C"/>
          <w:sz w:val="26"/>
          <w:szCs w:val="26"/>
        </w:rPr>
        <w:t xml:space="preserve">1. Purpose and Scope</w:t>
      </w:r>
    </w:p>
    <w:p>
      <w:pPr>
        <w:spacing w:after="120" w:before="0"/>
      </w:pPr>
      <w:r>
        <w:rPr>
          <w:rFonts w:ascii="Aptos" w:cs="Aptos" w:eastAsia="Aptos" w:hAnsi="Aptos"/>
          <w:b w:val="false"/>
          <w:bCs w:val="false"/>
          <w:i w:val="false"/>
          <w:iCs w:val="false"/>
          <w:sz w:val="24"/>
          <w:szCs w:val="24"/>
        </w:rPr>
        <w:t xml:space="preserve">This record documents the as-built security configuration of the Agency's DNS: separation of authoritative and recursive services, DNSSEC or encrypted DNS, the secure configuration baseline, authentication for DNS administrators, and DNS query and change logging. It pairs with the DNS Filtering Policy; DNS change governance runs through the Change Management Policy.</w:t>
      </w:r>
    </w:p>
    <w:p>
      <w:pPr>
        <w:pStyle w:val="Heading2"/>
        <w:spacing w:after="100" w:before="220"/>
      </w:pPr>
      <w:r>
        <w:rPr>
          <w:rFonts w:ascii="Aptos" w:cs="Aptos" w:eastAsia="Aptos" w:hAnsi="Aptos"/>
          <w:b/>
          <w:bCs/>
          <w:color w:val="1B3A5C"/>
          <w:sz w:val="26"/>
          <w:szCs w:val="26"/>
        </w:rPr>
        <w:t xml:space="preserve">2. System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ISP resolver plus hosted protective DNS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hosted / provider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AST-016</w:t>
            </w:r>
          </w:p>
        </w:tc>
      </w:tr>
    </w:tbl>
    <w:p>
      <w:pPr>
        <w:pStyle w:val="Heading2"/>
        <w:spacing w:after="100" w:before="220"/>
      </w:pPr>
      <w:r>
        <w:rPr>
          <w:rFonts w:ascii="Aptos" w:cs="Aptos" w:eastAsia="Aptos" w:hAnsi="Aptos"/>
          <w:b/>
          <w:bCs/>
          <w:color w:val="1B3A5C"/>
          <w:sz w:val="26"/>
          <w:szCs w:val="26"/>
        </w:rPr>
        <w:t xml:space="preserve">3. Current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Service separation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Recursive resolution via the provider; no local authoritative service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Provider-run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Protective protocol</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Encrypted DNS (DoH) via the provider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 enabled by the service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Secure baseline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Provider defaults; risky features not exposed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Provider-managed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 authentication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Provider portal with MFA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See MFA Implementation Record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Query and change logging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Provider query logs reviewed monthly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 local SIEM</w:t>
            </w:r>
          </w:p>
        </w:tc>
      </w:tr>
    </w:tbl>
    <w:p>
      <w:pPr>
        <w:pStyle w:val="Heading2"/>
        <w:spacing w:after="100" w:before="220"/>
      </w:pPr>
      <w:r>
        <w:rPr>
          <w:rFonts w:ascii="Aptos" w:cs="Aptos" w:eastAsia="Aptos" w:hAnsi="Aptos"/>
          <w:b/>
          <w:bCs/>
          <w:color w:val="1B3A5C"/>
          <w:sz w:val="26"/>
          <w:szCs w:val="26"/>
        </w:rPr>
        <w:t xml:space="preserve">4. Approved Settings and Deviation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Protective DNS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Provider DoH</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2026-02-10</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20" w:before="0"/>
      </w:pPr>
      <w:r>
        <w:rPr>
          <w:rFonts w:ascii="Aptos" w:cs="Aptos" w:eastAsia="Aptos" w:hAnsi="Aptos"/>
          <w:b w:val="false"/>
          <w:bCs w:val="false"/>
          <w:i w:val="false"/>
          <w:iCs w:val="false"/>
          <w:sz w:val="24"/>
          <w:szCs w:val="24"/>
        </w:rPr>
        <w:t xml:space="preserve">Validated against the secure baseline at least annually by the County IT; configuration changes run through the Change Management Policy and are recorded in the Change History below.</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DNS is often the resolver the ISP or a hosted service provides. Record what is used, whether protective or encrypted DNS is enabled, and who can change it. The manual equivalent is confirming risky features are off and admin access is limited.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§5.6.4 (Intrusion Monitoring and Detection)</w:t>
            </w:r>
          </w:p>
          <w:p>
            <w:pPr>
              <w:spacing w:after="40" w:before="0"/>
            </w:pPr>
            <w:r>
              <w:rPr>
                <w:rFonts w:ascii="Aptos" w:cs="Aptos" w:eastAsia="Aptos" w:hAnsi="Aptos"/>
                <w:b w:val="false"/>
                <w:bCs w:val="false"/>
                <w:i w:val="false"/>
                <w:iCs w:val="false"/>
                <w:sz w:val="24"/>
                <w:szCs w:val="24"/>
              </w:rPr>
              <w:t xml:space="preserve">NIST SP 800-53 Rev. 5: SC-7, SC-20, SC-21, SC-22, AU-12</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2026-02-10</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2026-02-10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DNS Security Configuration Record - EXAMPLE - S</dc:title>
</cp:coreProperties>
</file>

<file path=docProps/custom.xml><?xml version="1.0" encoding="utf-8"?>
<Properties xmlns="http://schemas.openxmlformats.org/officeDocument/2006/custom-properties" xmlns:vt="http://schemas.openxmlformats.org/officeDocument/2006/docPropsVTypes"/>
</file>