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Email Authentication Configuration Records (SPF/DKIM/DMARC)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email authentication for the Agency's domains: the SPF, DKIM, and DMARC records and the TLS settings, with the cadence on which they are audited. It implements the Email Security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 email (county domain)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hosted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AST-047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SPF record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v=spf1 include:mailprovider.example -all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Authorized senders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DKIM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Selector s1, 2048-bit signing enabled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Rotated annually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DMARC policy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p=quarantine; aggregate reports reviewed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Toward reject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TLS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Enforced TLS to known partners; opportunistic otherwise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Inbound and outbound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DMARC policy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Quarantine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Audited at least semi-annually by the Shared county IT against the Email Security Policy; changes to the published records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publishes and maintains SPF, DKIM, and DMARC, moves DMARC toward enforcement, and reviews the reports on a cadence.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NENA-STA-040.2-2024: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NIST SP 800-53 Rev. 5: SC-8, SC-23, SI-8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Email Authentication Configuration Records (SPF/DKIM/DMARC)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