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sz w:val="40"/>
          <w:szCs w:val="40"/>
        </w:rPr>
        <w:t xml:space="preserve">Cellular / Mobile Device Security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sz w:val="24"/>
                <w:szCs w:val="24"/>
                <w:i w:val="0"/>
              </w:rPr>
              <w:t xml:space="preserve">Authority: </w:t>
            </w:r>
            <w:r>
              <w:rPr>
                <w:rFonts w:ascii="Aptos" w:cs="Aptos" w:eastAsia="Aptos" w:hAnsi="Aptos"/>
                <w:b w:val="0"/>
                <w:sz w:val="24"/>
                <w:szCs w:val="24"/>
                <w:i w:val="0"/>
              </w:rPr>
              <w:t xml:space="preserve">Adopted by Wabash Valley Communications under the authority of </w:t>
            </w:r>
            <w:r>
              <w:rPr>
                <w:rFonts w:ascii="Aptos" w:cs="Aptos" w:eastAsia="Aptos" w:hAnsi="Aptos"/>
                <w:b w:val="0"/>
                <w:sz w:val="24"/>
                <w:szCs w:val="24"/>
                <w:i w:val="0"/>
              </w:rPr>
              <w:t xml:space="preserve">Anthony Reyes, Director</w:t>
            </w:r>
            <w:r>
              <w:rPr>
                <w:rFonts w:ascii="Aptos" w:cs="Aptos" w:eastAsia="Aptos" w:hAnsi="Aptos"/>
                <w:b w:val="0"/>
                <w:sz w:val="24"/>
                <w:szCs w:val="24"/>
                <w:i w:val="0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sz w:val="24"/>
                <w:szCs w:val="24"/>
                <w:i w:val="0"/>
              </w:rPr>
              <w:t xml:space="preserve">Version: </w:t>
            </w:r>
            <w:r>
              <w:rPr>
                <w:rFonts w:ascii="Aptos" w:cs="Aptos" w:eastAsia="Aptos" w:hAnsi="Aptos"/>
                <w:b w:val="0"/>
                <w:sz w:val="24"/>
                <w:szCs w:val="24"/>
                <w:i w:val="0"/>
              </w:rPr>
              <w:t xml:space="preserve">1.0    </w:t>
            </w:r>
            <w:r>
              <w:rPr>
                <w:rFonts w:ascii="Aptos" w:cs="Aptos" w:eastAsia="Aptos" w:hAnsi="Aptos"/>
                <w:b/>
                <w:sz w:val="24"/>
                <w:szCs w:val="24"/>
                <w:i w:val="0"/>
              </w:rPr>
              <w:t xml:space="preserve">Effective Date: </w:t>
            </w:r>
            <w:r>
              <w:rPr>
                <w:rFonts w:ascii="Aptos" w:cs="Aptos" w:eastAsia="Aptos" w:hAnsi="Aptos"/>
                <w:b w:val="0"/>
                <w:sz w:val="24"/>
                <w:szCs w:val="24"/>
                <w:i w:val="0"/>
              </w:rPr>
              <w:t xml:space="preserve">2026-03-05    </w:t>
            </w:r>
            <w:r>
              <w:rPr>
                <w:rFonts w:ascii="Aptos" w:cs="Aptos" w:eastAsia="Aptos" w:hAnsi="Aptos"/>
                <w:b/>
                <w:sz w:val="24"/>
                <w:szCs w:val="24"/>
                <w:i w:val="0"/>
              </w:rPr>
              <w:t xml:space="preserve">Next Review: </w:t>
            </w:r>
            <w:r>
              <w:rPr>
                <w:rFonts w:ascii="Aptos" w:cs="Aptos" w:eastAsia="Aptos" w:hAnsi="Aptos"/>
                <w:b w:val="0"/>
                <w:sz w:val="24"/>
                <w:szCs w:val="24"/>
                <w:i w:val="0"/>
              </w:rPr>
              <w:t xml:space="preserve">2027-03-05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sz w:val="24"/>
                <w:szCs w:val="24"/>
                <w:i w:val="0"/>
              </w:rPr>
              <w:t xml:space="preserve">Owner: </w:t>
            </w:r>
            <w:r>
              <w:rPr>
                <w:rFonts w:ascii="Aptos" w:cs="Aptos" w:eastAsia="Aptos" w:hAnsi="Aptos"/>
                <w:b w:val="0"/>
                <w:sz w:val="24"/>
                <w:szCs w:val="24"/>
                <w:i w:val="0"/>
              </w:rPr>
              <w:t xml:space="preserve">Security Coordinator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sz w:val="24"/>
                <w:szCs w:val="24"/>
                <w:i w:val="0"/>
              </w:rPr>
              <w:t xml:space="preserve">Classification: </w:t>
            </w:r>
            <w:r>
              <w:rPr>
                <w:rFonts w:ascii="Aptos" w:cs="Aptos" w:eastAsia="Aptos" w:hAnsi="Aptos"/>
                <w:b w:val="0"/>
                <w:sz w:val="24"/>
                <w:szCs w:val="24"/>
                <w:i w:val="0"/>
              </w:rPr>
              <w:t xml:space="preserve">Restricted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  <w:i w:val="0"/>
        </w:rPr>
        <w:t xml:space="preserve">This standard sets the security requirements for cellular and mobile access to the Agency’s emergency-services applications. It states what a cellular connection must satisfy before it is allowed, covering device management, session handling, encryption of the cellular link, and detection of unauthorized base stations.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/>
          <w:sz w:val="24"/>
          <w:szCs w:val="24"/>
          <w:i w:val="0"/>
        </w:rPr>
        <w:t xml:space="preserve">Applies to: all cellular and mobile connections that reach Agency emergency-services applications, and the devices that make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/>
          <w:sz w:val="24"/>
          <w:szCs w:val="24"/>
          <w:i w:val="0"/>
        </w:rPr>
        <w:t xml:space="preserve">Implements: Wireless Network Policy; Mobile Device Management (MDM) Policy.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/>
          <w:sz w:val="24"/>
          <w:szCs w:val="24"/>
          <w:i w:val="0"/>
        </w:rPr>
        <w:t xml:space="preserve">Excludes: fixed wired connections, governed by the Access Control Policy; the deployed configuration values, recorded in the relevant configuration records.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Requirements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sz w:val="24"/>
          <w:szCs w:val="24"/>
          <w:i w:val="0"/>
        </w:rPr>
        <w:t xml:space="preserve">Cellular access to emergency-services applications is formally approved before it is enabled, and is limited to mission-essential services.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sz w:val="24"/>
          <w:szCs w:val="24"/>
          <w:i w:val="0"/>
        </w:rPr>
        <w:t xml:space="preserve">Cellular-connected devices are managed through mobile-device management or a private APN, so the Agency can enforce settings and revoke access.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sz w:val="24"/>
          <w:szCs w:val="24"/>
          <w:i w:val="0"/>
        </w:rPr>
        <w:t xml:space="preserve">Cellular and broadband sessions carrying sensitive data are encrypted, using an agency VPN or application-level encryption.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sz w:val="24"/>
          <w:szCs w:val="24"/>
          <w:i w:val="0"/>
        </w:rPr>
        <w:t xml:space="preserve">Non-essential cellular services are disabled when not in use, including after shift where a device is not on duty.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sz w:val="24"/>
          <w:szCs w:val="24"/>
          <w:i w:val="0"/>
        </w:rPr>
        <w:t xml:space="preserve">Authentication for cellular access to emergency-services applications uses multifactor authentication or device certificates.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sz w:val="24"/>
          <w:szCs w:val="24"/>
          <w:i w:val="0"/>
        </w:rPr>
        <w:t xml:space="preserve">Where the technology supports it, the Agency detects and prevents connections to unauthorized or rogue base stations, and monitors for interference.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sz w:val="24"/>
          <w:szCs w:val="24"/>
          <w:i w:val="0"/>
        </w:rPr>
        <w:t xml:space="preserve">Cellular links are kept separate from real-time call-handling systems and are monitored for unusual activity.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sz w:val="24"/>
          <w:szCs w:val="24"/>
          <w:i w:val="0"/>
        </w:rPr>
        <w:t xml:space="preserve">Encryption strength and approved algorithms follow the Encryption Policy; this standard does not restate cipher values.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Approved and Prohibited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color w:val="FFFFFF"/>
                <w:sz w:val="24"/>
                <w:szCs w:val="24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color w:val="FFFFFF"/>
                <w:sz w:val="24"/>
                <w:szCs w:val="24"/>
              </w:rPr>
              <w:t xml:space="preserve">Approved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color w:val="FFFFFF"/>
                <w:sz w:val="24"/>
                <w:szCs w:val="24"/>
              </w:rPr>
              <w:t xml:space="preserve">Prohibited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Cellular transport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Private APN; agency VPN over LTE; application-level TLS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Public or consumer hotspot tethering to dispatch systems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Device management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MDM-enrolled, agency-managed devices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Unmanaged or personal devices for emergency-services applications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Session handling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Disable-when-idle; restrict to mission-essential services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Always-on non-essential cellular services on dispatch devices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Messaging of sensitive data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Approved secure channels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Consumer messaging apps for CJIS-regulated or sensitive data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Base-station security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Rogue-base-station detection where available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Connecting to unverified or unauthorized base stations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Deviation Process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  <w:i w:val="0"/>
        </w:rPr>
        <w:t xml:space="preserve">A deviation (for example, a device or carrier that cannot meet a requirement) requires written approval from the Director, a stated compensating control, and a review date. Deviations are recorded and expire after 12 months unless renewed.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Review Schedule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  <w:i w:val="0"/>
        </w:rPr>
        <w:t xml:space="preserve">This standard is reviewed at least annually and whenever the Agency’s cellular or mobile technology changes significantly, by the Security Coordinator.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Shared county IT manages cellular devices through MDM or a private APN, encrypts sessions with a VPN, and restricts devices to mission-essential services.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i w:val="0"/>
                <w:sz w:val="24"/>
                <w:szCs w:val="24"/>
                <w:b w:val="0"/>
              </w:rPr>
              <w:t xml:space="preserve">NENA-STA-040.2-2024: §6.3.4 (Broadband Cellular); §6.7.1 (Remote Access Device Security); §6.22 (Encryption)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i w:val="0"/>
                <w:sz w:val="24"/>
                <w:szCs w:val="24"/>
                <w:b w:val="0"/>
              </w:rPr>
              <w:t xml:space="preserve">NIST SP 800-53 Rev. 5: AC-18, AC-19, SC-8, SC-40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Anthony Reyes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Anthony Reyes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2026-03-05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Security Coordinator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(on file)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(on file)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2026-03-05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2026-03-05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Security Coordinator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wabash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12"/>
    <w:lvlOverride w:ilvl="0">
      <w:startOverride w:val="1"/>
    </w:lvlOverride>
  </w:num>
  <w:num w:numId="3">
    <w:abstractNumId w:val="6"/>
    <w:lvlOverride w:ilvl="0">
      <w:startOverride w:val="1"/>
    </w:lvlOverride>
  </w:num>
  <w:num w:numId="300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2026-06-01T15:29:11.465Z</dcterms:created>
  <dcterms:modified xsi:type="dcterms:W3CDTF">2026-06-01T15:29:11.465Z</dcterms:modified>
  <dc:title xmlns:dc="http://purl.org/dc/elements/1.1/">Cellular / Mobile Device Security Standards - EXAMPLE - 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