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System Configuration Baselines (per system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Anthony Reyes,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March 2,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March 2, 2027</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Security Coordinator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b w:val="false"/>
          <w:bCs w:val="false"/>
          <w:i w:val="false"/>
          <w:iCs w:val="false"/>
          <w:sz w:val="24"/>
          <w:szCs w:val="24"/>
        </w:rPr>
        <w:t>This record documents Wabash Valley Communications's approved secure configuration baselines for each type of system it operates: workstations, servers, network devices, telephony and CAD appliances, and Session Border Controller (SBC) consoles. For each, it records the approved settings (password rules, open and closed ports, logging, lockout) and any deliberate deviation from vendor default. It implements the Change Management Policy, all baseline changes run through that policy, and it is the baseline the Configuration Drift Detection Records check against.</w:t>
      </w:r>
    </w:p>
    <w:p>
      <w:pPr>
        <w:pStyle w:val="Heading2"/>
        <w:spacing w:after="100" w:before="220"/>
      </w:pPr>
      <w:r>
        <w:rPr>
          <w:rFonts w:ascii="Aptos" w:cs="Aptos" w:eastAsia="Aptos" w:hAnsi="Aptos"/>
          <w:b/>
          <w:bCs/>
          <w:color w:val="1B3A5C"/>
          <w:sz w:val="26"/>
          <w:szCs w:val="26"/>
        </w:rPr>
        <w:t>2. Systems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System type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Scope and examples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Workstations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Dispatch and administrative workstations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Servers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CAD, mapping, and back-end servers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Network devices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Switches, routers, firewalls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Telephony / CAD appliances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Call-handling and CAD appliances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SBC consoles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Session Border Controller administration consoles</w:t>
            </w:r>
          </w:p>
        </w:tc>
      </w:tr>
    </w:tbl>
    <w:p>
      <w:pPr>
        <w:pStyle w:val="Heading2"/>
        <w:spacing w:after="100" w:before="220"/>
      </w:pPr>
      <w:r>
        <w:rPr>
          <w:rFonts w:ascii="Aptos" w:cs="Aptos" w:eastAsia="Aptos" w:hAnsi="Aptos"/>
          <w:b/>
          <w:bCs/>
          <w:color w:val="1B3A5C"/>
          <w:sz w:val="26"/>
          <w:szCs w:val="26"/>
        </w:rPr>
        <w:t>3. Approved Baseline Settings (per system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System type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Setting</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Approved value</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Deviation from vendor default?</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Notes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Workstations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Password policy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14-char minimum, 90-day rotation, 5-try lockout, pushed via Group Policy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GPO-enforced across the domain</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Servers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Open ports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Service-specific ports only; RDP through a jump host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 RDP disabled</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Network devices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Remote management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SSH from admin VLAN with TACACS+ auth; Telnet and HTTP off</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Centralized authentication added</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Telephony / CAD appliances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Logging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Syslog forwarded to the shared county SIEM</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Reviewed on the monitoring cadence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SBC consoles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Account lockout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Lock after 5 failed logins for 30 minutes; MFA required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Meets vendor default</w:t>
            </w:r>
          </w:p>
        </w:tc>
      </w:tr>
    </w:tbl>
    <w:p>
      <w:pPr>
        <w:pStyle w:val="Heading2"/>
        <w:spacing w:after="100" w:before="220"/>
      </w:pPr>
      <w:r>
        <w:rPr>
          <w:rFonts w:ascii="Aptos" w:cs="Aptos" w:eastAsia="Aptos" w:hAnsi="Aptos"/>
          <w:b/>
          <w:bCs/>
          <w:color w:val="1B3A5C"/>
          <w:sz w:val="26"/>
          <w:szCs w:val="26"/>
        </w:rPr>
        <w:t>4. Network Zones and ACLs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Zone / segment</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Purpose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Allowed traffic / ACL summary</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Change-control reference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Notes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Dispatch VLAN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CAD and call-handling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ESInet and CAD vendor; internet denied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CR-2026-031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Dual-path redundancy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Server VLAN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Back-end servers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Application ports from the dispatch VLAN only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CR-2026-031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Management VLAN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and security admin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SSH and RDP via jump host, TACACS+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CR-2026-031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b w:val="false"/>
          <w:bCs w:val="false"/>
          <w:i w:val="false"/>
          <w:iCs w:val="false"/>
          <w:sz w:val="24"/>
          <w:szCs w:val="24"/>
        </w:rPr>
        <w:t>The approved baselines are validated against the as-built state through the Configuration Drift Detection Records, at least quarterly and after any change, by the the Security Coordinator. Every change to a baseline runs through the Change Management Policy and is recorded in the Change History below.</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maintains a baseline per system type and pushes settings where it can (for example, Group Policy for workstations). Baselines are reviewed on a set cycle and after major changes.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§6.2.5, §6.9, §6.10.2, §6.19</w:t>
            </w:r>
          </w:p>
          <w:p>
            <w:pPr>
              <w:spacing w:after="40" w:before="0"/>
            </w:pPr>
            <w:r>
              <w:rPr>
                <w:rFonts w:ascii="Aptos" w:cs="Aptos" w:eastAsia="Aptos" w:hAnsi="Aptos"/>
                <w:b w:val="false"/>
                <w:bCs w:val="false"/>
                <w:i w:val="false"/>
                <w:iCs w:val="false"/>
                <w:sz w:val="24"/>
                <w:szCs w:val="24"/>
              </w:rPr>
              <w:t>NIST SP 800-53 Rev. 5: AC-7, CM-2, CM-6, CM-7, IA-5,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(approving)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 (owner)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Dana Mercer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Dana Mercer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March 2, 2026</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System Configuration Baselines (per system type) - EXAMPLE - M</dc:title>
</cp:coreProperties>
</file>

<file path=docProps/custom.xml><?xml version="1.0" encoding="utf-8"?>
<Properties xmlns="http://schemas.openxmlformats.org/officeDocument/2006/custom-properties" xmlns:vt="http://schemas.openxmlformats.org/officeDocument/2006/docPropsVTypes"/>
</file>