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Emergency Change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Anthony Reyes,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w:t>
            </w:r>
            <w:r>
              <w:rPr>
                <w:rFonts w:ascii="Aptos" w:cs="Aptos" w:eastAsia="Aptos" w:hAnsi="Aptos"/>
                <w:b/>
                <w:bCs/>
                <w:sz w:val="24"/>
                <w:szCs w:val="24"/>
              </w:rPr>
              <w:t xml:space="preserve">    Effective Date: </w:t>
            </w:r>
            <w:r>
              <w:rPr>
                <w:rFonts w:ascii="Aptos" w:cs="Aptos" w:eastAsia="Aptos" w:hAnsi="Aptos"/>
                <w:sz w:val="24"/>
                <w:szCs w:val="24"/>
              </w:rPr>
              <w:t xml:space="preserve">2026-02-09</w:t>
            </w:r>
            <w:r>
              <w:rPr>
                <w:rFonts w:ascii="Aptos" w:cs="Aptos" w:eastAsia="Aptos" w:hAnsi="Aptos"/>
                <w:b/>
                <w:bCs/>
                <w:sz w:val="24"/>
                <w:szCs w:val="24"/>
              </w:rPr>
              <w:t xml:space="preserve">    Next Review: </w:t>
            </w:r>
            <w:r>
              <w:rPr>
                <w:rFonts w:ascii="Aptos" w:cs="Aptos" w:eastAsia="Aptos" w:hAnsi="Aptos"/>
                <w:sz w:val="24"/>
                <w:szCs w:val="24"/>
              </w:rPr>
              <w:t xml:space="preserve">2027-02-09</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IT Support Lead</w:t>
            </w:r>
          </w:p>
          <w:p>
            <w:pPr>
              <w:spacing w:after="2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sets the expedited path for a critical change or patch that cannot wait for the normal change cycle. It names who may authorize an emergency change, what must be documented at the time, and how the change is reconciled back into change management afterward.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shared county IT and the on-call authorizer</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critical changes or patches that cannot wait for the normal change cycle, for example an active incident, an imminent outage, or a critical security patch</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routine changes and standing exceptions, which follow the Change Management Policy</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Change Management Policy and its definition of change types</w:t>
      </w:r>
    </w:p>
    <w:p>
      <w:pPr>
        <w:pStyle w:val="ListParagraph"/>
        <w:numPr>
          <w:ilvl w:val="0"/>
          <w:numId w:val="3"/>
        </w:numPr>
        <w:spacing w:after="60"/>
      </w:pPr>
      <w:r>
        <w:rPr>
          <w:rFonts w:ascii="Aptos" w:cs="Aptos" w:eastAsia="Aptos" w:hAnsi="Aptos"/>
          <w:b w:val="false"/>
          <w:bCs w:val="false"/>
          <w:i w:val="false"/>
          <w:iCs w:val="false"/>
          <w:sz w:val="24"/>
          <w:szCs w:val="24"/>
        </w:rPr>
        <w:t xml:space="preserve">A reachable emergency authorizer, the director or IT lead, at all times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Change Request &amp; Approval Log for reconciliation</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280"/>
        <w:gridCol w:w="2000"/>
      </w:tblGrid>
      <w:tr>
        <w:trPr>
          <w:cantSplit/>
          <w:tblHeader/>
        </w:trPr>
        <w:tc>
          <w:tcPr>
            <w:tcW w:type="dxa" w:w="10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62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change meets the emergency threshold: critical patch, active incident, or imminent outage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Obtain expedited authorization from the on-call authorizer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 Director</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minimum documentation now: what is changing, why, and who authorized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 the change, with a second-person check where staffing allows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affected service is restored and stable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 shift supervisor</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Reconcile into change management: log it in the Change Request &amp; Approval Log within 24 hours with a risk and impact assessment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emergency change at the next change review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 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emergency change is authorized by the named role, documented at the time, and reconciled into the Change Request &amp; Approval Log within the stated window; the next change review confirms none bypassed the process.</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Change Management Policy; Change Request &amp; Approval Log; Patch Testing Procedure; Backup Call-Handling / Dispatch Continuity Procedure.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named on-call authorizer approves; the shared IT team implements and reconciles the change into the change log on the next business day.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40" w:before="0"/>
            </w:pPr>
            <w:r>
              <w:rPr>
                <w:rFonts w:ascii="Aptos" w:cs="Aptos" w:eastAsia="Aptos" w:hAnsi="Aptos"/>
                <w:sz w:val="24"/>
                <w:szCs w:val="24"/>
              </w:rPr>
              <w:t xml:space="preserve">NENA-STA-040.2-2024: §4.4, §5.5</w:t>
            </w:r>
          </w:p>
          <w:p>
            <w:pPr>
              <w:spacing w:after="40" w:before="0"/>
            </w:pPr>
            <w:r>
              <w:rPr>
                <w:rFonts w:ascii="Aptos" w:cs="Aptos" w:eastAsia="Aptos" w:hAnsi="Aptos"/>
                <w:sz w:val="24"/>
                <w:szCs w:val="24"/>
              </w:rPr>
              <w:t xml:space="preserve">NIST SP 800-53 Rev. 5: CM-3, CM-5, SI-2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2026-02-09</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Lead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Priya Nair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Priya Nair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2026-02-09</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2026-02-09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Priya Nair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Emergency Change Procedures - EXAMPLE - M</dc:title>
</cp:coreProperties>
</file>

<file path=docProps/custom.xml><?xml version="1.0" encoding="utf-8"?>
<Properties xmlns="http://schemas.openxmlformats.org/officeDocument/2006/custom-properties" xmlns:vt="http://schemas.openxmlformats.org/officeDocument/2006/docPropsVTypes"/>
</file>