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Continuous 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Purpose: this plan defines how the Agency continuously monitors its public-safety systems for security and health problems: what is watched, how, at what thresholds, how often, and by whom.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Scope: the systems named in section 4 and the tools that watch them. This is a standing plan, always in effect,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scope: the explicit set of systems this plan watches. A system not in scope is a coverage gap, tracked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plan; ensures monitoring scope and tooling are funded and reviewed.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Operates the monitoring tools, maintains coverage, and tunes alerts.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alerts on the defined cadence and triages them per the Alert Triage &amp; Escalation Procedure.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System 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each in-scope system feeding the monitoring platform.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Monitoring Scope &amp;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In scope: CAD, GIS, call routing / ESInet, network devices, servers, and cloud or virtualized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Coverage rule: a system not listed here is a coverage gap and is recorded as a finding in the Risk / Finding Register until monitoring is extended or the gap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owner: Security Coordinator keeps this list current at each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Monitoring Methods &amp; Review Cadence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/ automated: what is watched in real time or near real time, by which tool  (Security Coordinator)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Periodic review: daily alert review, weekly log review, and what each covers  (Security Coordinator)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Cloud / virtualized: audit logs for data access, account changes, and configuration updates are captured and reviewed  (Security Coordinator)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Alert Thresholds &amp; Escalation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Alert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Notified 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Low / informational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dashboard /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reviewed on cadence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Elevated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email / ticket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the review window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/ immediate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Immediate; triaged per the Alert Triage &amp; Escalation Procedure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Tuning &amp; Validation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is tuned to the Agency’s normal patterns and validated for coverage at least annually by the Security Coordinator. New systems are added to scope and noisy alerts are tuned; coverage gaps are recorded as findings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maintains the scope list, uses a shared or hosted monitoring service, and reviews alerts on a set cadence.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 (Continuous Monitoring); §5.6.2 (Security Event Logging); §5.6.3 (Information and Event Management); §5.6.6 (NOC and SOC)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AU-12, CA-7,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Continuous Monitoring Plan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