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Redundancy Design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Tri-River Regional 911 Center under the authority of Dr. Lisa Park, Director.</w:t>
            </w:r>
          </w:p>
          <w:p>
            <w:pPr>
              <w:spacing w:after="6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2026-01-15</w:t>
            </w:r>
            <w:r>
              <w:rPr>
                <w:rFonts w:ascii="Aptos" w:hAnsi="Aptos" w:cs="Aptos"/>
                <w:b/>
                <w:i w:val="0"/>
                <w:sz w:val="24"/>
              </w:rPr>
              <w:t xml:space="preserve">    Next Review: </w:t>
            </w:r>
            <w:r>
              <w:rPr>
                <w:rFonts w:ascii="Aptos" w:hAnsi="Aptos" w:cs="Aptos"/>
                <w:b w:val="0"/>
                <w:i w:val="0"/>
                <w:sz w:val="24"/>
              </w:rPr>
              <w:t>2026-07-15</w:t>
            </w:r>
          </w:p>
          <w:p>
            <w:pPr>
              <w:spacing w:after="60"/>
            </w:pPr>
            <w:r>
              <w:rPr>
                <w:rFonts w:ascii="Aptos" w:hAnsi="Aptos" w:cs="Aptos"/>
                <w:b/>
                <w:i w:val="0"/>
                <w:sz w:val="24"/>
              </w:rPr>
              <w:t xml:space="preserve">Owner: </w:t>
            </w:r>
            <w:r>
              <w:rPr>
                <w:rFonts w:ascii="Aptos" w:hAnsi="Aptos" w:cs="Aptos"/>
                <w:b w:val="0"/>
                <w:i w:val="0"/>
                <w:sz w:val="24"/>
              </w:rPr>
              <w:t>IT Team</w:t>
            </w:r>
          </w:p>
          <w:p>
            <w:pPr>
              <w:spacing w:after="2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document maps Tri-River Regional 911 Center's redundancy: two staffed centers with dual CAD, dual NG911 BCF/ESRP edges, diverse carriers, and automatic failover between sites, so no single failure or vendor outage stops call handling.</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jc w:val="center"/>
            </w:pPr>
            <w:r>
              <w:drawing>
                <wp:inline xmlns:a="http://schemas.openxmlformats.org/drawingml/2006/main" xmlns:pic="http://schemas.openxmlformats.org/drawingml/2006/picture">
                  <wp:extent cx="5760720" cy="2733901"/>
                  <wp:docPr id="1" name="Picture 1"/>
                  <wp:cNvGraphicFramePr>
                    <a:graphicFrameLocks noChangeAspect="1"/>
                  </wp:cNvGraphicFramePr>
                  <a:graphic>
                    <a:graphicData uri="http://schemas.openxmlformats.org/drawingml/2006/picture">
                      <pic:pic>
                        <pic:nvPicPr>
                          <pic:cNvPr id="0" name="a143-tririver-redundancy.png"/>
                          <pic:cNvPicPr/>
                        </pic:nvPicPr>
                        <pic:blipFill>
                          <a:blip r:embed="rId10"/>
                          <a:stretch>
                            <a:fillRect/>
                          </a:stretch>
                        </pic:blipFill>
                        <pic:spPr>
                          <a:xfrm>
                            <a:off x="0" y="0"/>
                            <a:ext cx="5760720" cy="2733901"/>
                          </a:xfrm>
                          <a:prstGeom prst="rect"/>
                        </pic:spPr>
                      </pic:pic>
                    </a:graphicData>
                  </a:graphic>
                </wp:inline>
              </w:drawing>
            </w:r>
          </w:p>
        </w:tc>
      </w:tr>
    </w:tbl>
    <w:p>
      <w:pPr>
        <w:pStyle w:val="Heading2"/>
        <w:spacing w:after="100" w:before="220"/>
      </w:pPr>
      <w:r>
        <w:rPr>
          <w:rFonts w:ascii="Aptos" w:cs="Aptos" w:eastAsia="Aptos" w:hAnsi="Aptos"/>
          <w:b/>
          <w:bCs/>
          <w:color w:val="1B3A5C"/>
          <w:sz w:val="26"/>
          <w:szCs w:val="26"/>
        </w:rPr>
        <w:t>3. Redundant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60"/>
        <w:gridCol w:w="2400"/>
        <w:gridCol w:w="2400"/>
      </w:tblGrid>
      <w:tr>
        <w:trPr>
          <w:cantSplit/>
          <w:tblHeader/>
        </w:trPr>
        <w:tc>
          <w:tcPr>
            <w:tcW w:type="dxa" w:w="259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 component</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Primary and diverse counterpart</w:t>
            </w:r>
          </w:p>
        </w:tc>
        <w:tc>
          <w:tcPr>
            <w:tcW w:type="dxa" w:w="187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Failover mechanism (auto / manual)</w:t>
            </w:r>
          </w:p>
        </w:tc>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Expected shift time</w:t>
            </w:r>
          </w:p>
        </w:tc>
      </w:tr>
      <w:tr>
        <w:trPr>
          <w:cantSplit/>
        </w:trP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Internet / ESInet path</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Carrier A at Center A; Carrier B at Center B (diverse)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 sec</w:t>
            </w:r>
          </w:p>
        </w:tc>
      </w:tr>
      <w:tr>
        <w:trPr>
          <w:cantSplit/>
        </w:trP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NG911 BCF / ESRP</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Edge at Center A; edge at Center B</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~12 sec</w:t>
            </w:r>
          </w:p>
        </w:tc>
      </w:tr>
      <w:tr>
        <w:trPr>
          <w:cantSplit/>
        </w:trPr>
        <w:tc>
          <w:tcPr>
            <w:tcW w:type="dxa" w:w="2600"/>
          </w:tcPr>
          <w:p>
            <w:r>
              <w:rPr>
                <w:rFonts w:ascii="Aptos" w:hAnsi="Aptos" w:cs="Aptos"/>
                <w:b w:val="0"/>
                <w:i w:val="0"/>
                <w:sz w:val="24"/>
              </w:rPr>
              <w:t>Computer-aided dispatch (CAD)</w:t>
            </w:r>
          </w:p>
        </w:tc>
        <w:tc>
          <w:tcPr>
            <w:tcW w:type="dxa" w:w="4360"/>
          </w:tcPr>
          <w:p>
            <w:r>
              <w:rPr>
                <w:rFonts w:ascii="Aptos" w:hAnsi="Aptos" w:cs="Aptos"/>
                <w:b w:val="0"/>
                <w:i w:val="0"/>
                <w:sz w:val="24"/>
              </w:rPr>
              <w:t>CAD cluster Center A; CAD cluster Center B</w:t>
            </w:r>
          </w:p>
        </w:tc>
        <w:tc>
          <w:tcPr>
            <w:tcW w:type="dxa" w:w="2400"/>
          </w:tcPr>
          <w:p>
            <w:r>
              <w:rPr>
                <w:rFonts w:ascii="Aptos" w:hAnsi="Aptos" w:cs="Aptos"/>
                <w:b w:val="0"/>
                <w:i w:val="0"/>
                <w:sz w:val="24"/>
              </w:rPr>
              <w:t>Automatic</w:t>
            </w:r>
          </w:p>
        </w:tc>
        <w:tc>
          <w:tcPr>
            <w:tcW w:type="dxa" w:w="2400"/>
          </w:tcPr>
          <w:p>
            <w:r>
              <w:rPr>
                <w:rFonts w:ascii="Aptos" w:hAnsi="Aptos" w:cs="Aptos"/>
                <w:b w:val="0"/>
                <w:i w:val="0"/>
                <w:sz w:val="24"/>
              </w:rPr>
              <w:t>~30 sec</w:t>
            </w:r>
          </w:p>
        </w:tc>
      </w:tr>
      <w:tr>
        <w:trPr>
          <w:cantSplit/>
        </w:trPr>
        <w:tc>
          <w:tcPr>
            <w:tcW w:type="dxa" w:w="2600"/>
          </w:tcPr>
          <w:p>
            <w:r>
              <w:rPr>
                <w:rFonts w:ascii="Aptos" w:hAnsi="Aptos" w:cs="Aptos"/>
                <w:b w:val="0"/>
                <w:i w:val="0"/>
                <w:sz w:val="24"/>
              </w:rPr>
              <w:t>Radio / dispatch console</w:t>
            </w:r>
          </w:p>
        </w:tc>
        <w:tc>
          <w:tcPr>
            <w:tcW w:type="dxa" w:w="4360"/>
          </w:tcPr>
          <w:p>
            <w:r>
              <w:rPr>
                <w:rFonts w:ascii="Aptos" w:hAnsi="Aptos" w:cs="Aptos"/>
                <w:b w:val="0"/>
                <w:i w:val="0"/>
                <w:sz w:val="24"/>
              </w:rPr>
              <w:t>Consoles at Center A; consoles at Center B</w:t>
            </w:r>
          </w:p>
        </w:tc>
        <w:tc>
          <w:tcPr>
            <w:tcW w:type="dxa" w:w="2400"/>
          </w:tcPr>
          <w:p>
            <w:r>
              <w:rPr>
                <w:rFonts w:ascii="Aptos" w:hAnsi="Aptos" w:cs="Aptos"/>
                <w:b w:val="0"/>
                <w:i w:val="0"/>
                <w:sz w:val="24"/>
              </w:rPr>
              <w:t>Automatic</w:t>
            </w:r>
          </w:p>
        </w:tc>
        <w:tc>
          <w:tcPr>
            <w:tcW w:type="dxa" w:w="2400"/>
          </w:tcPr>
          <w:p>
            <w:r>
              <w:rPr>
                <w:rFonts w:ascii="Aptos" w:hAnsi="Aptos" w:cs="Aptos"/>
                <w:b w:val="0"/>
                <w:i w:val="0"/>
                <w:sz w:val="24"/>
              </w:rPr>
              <w:t>~1 min</w:t>
            </w:r>
          </w:p>
        </w:tc>
      </w:tr>
    </w:tbl>
    <w:p>
      <w:pPr>
        <w:pStyle w:val="Heading2"/>
        <w:spacing w:after="100" w:before="220"/>
      </w:pPr>
      <w:r>
        <w:rPr>
          <w:rFonts w:ascii="Aptos" w:cs="Aptos" w:eastAsia="Aptos" w:hAnsi="Aptos"/>
          <w:b/>
          <w:bCs/>
          <w:color w:val="1B3A5C"/>
          <w:sz w:val="26"/>
          <w:szCs w:val="26"/>
        </w:rPr>
        <w:t>4. Diversity &amp; Failover Notes</w:t>
      </w:r>
    </w:p>
    <w:p>
      <w:pPr>
        <w:spacing w:after="120" w:before="0"/>
      </w:pPr>
      <w:r>
        <w:rPr>
          <w:rFonts w:ascii="Aptos" w:cs="Aptos" w:eastAsia="Aptos" w:hAnsi="Aptos"/>
          <w:b w:val="false"/>
          <w:bCs w:val="false"/>
          <w:i w:val="false"/>
          <w:iCs w:val="false"/>
          <w:sz w:val="24"/>
          <w:szCs w:val="24"/>
        </w:rPr>
        <w:t>Tri-River Regional 911 Center runs two staffed centers with full geographic and vendor diversity: dual CAD clusters, dual NG911 BCF/ESRP edges, and diverse carriers, all with automatic failover between sites. The remaining single points of failure, the shared GIS data source and the ALI database, are carried into the Single-Point-of-Failure Assessment Record. Each failover path is tested in the Failover Test Records; certificate renewal is tracked with the Certificate Inventory so a failover keeps valid certificates.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Redundancy is basic but real: a second carrier or a wireless backup for internet, a documented manual fallback for CAD, and a backup radio console. Test the failover once a year and keep the result.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§5.3, §6.14, §6.15</w:t>
            </w:r>
          </w:p>
          <w:p>
            <w:pPr>
              <w:spacing w:after="40" w:before="0"/>
            </w:pPr>
            <w:r>
              <w:rPr>
                <w:rFonts w:ascii="Aptos" w:hAnsi="Aptos" w:cs="Aptos"/>
                <w:b w:val="0"/>
                <w:i w:val="0"/>
                <w:sz w:val="24"/>
              </w:rPr>
              <w:t>NIST SP 800-53 Rev. 5: CP-2, CP-7,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Sam Whitfield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Sam Whitfield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tririver-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System Redundancy Design Documentation - EXAMPLE - L</dc:title>
</cp:coreProperties>
</file>

<file path=docProps/custom.xml><?xml version="1.0" encoding="utf-8"?>
<Properties xmlns="http://schemas.openxmlformats.org/officeDocument/2006/custom-properties" xmlns:vt="http://schemas.openxmlformats.org/officeDocument/2006/docPropsVTypes"/>
</file>