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Single-Point-of-Failure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2026-02-13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systems and paths reviewed for single points of failure, read against the System Redundancy Design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identifies single points of failure in the Agency’s infrastructure, such as a lone cable route, a single power feed, or one core switch, and records the redundancy decision and priority for each. One high-impact single point of failure was found: the lone fiber path to the county network. A wireless failover circuit is planned. The single core switch is lower priority and is held with a cold spare.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Single point of failure (system / path)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Impact / priority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Redundancy treatment &amp; decision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Single fiber path to the county network (no diverse route)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Add an LTE/wireless failover circuit; manual cutover documented in the interim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One core switch at the dispatch center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Med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Keep a cold-spare switch on site; accept the risk until a redundant pair is budgeted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Order LTE failover router and document manual cutover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2026-05-01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Purchase and stage a cold-spare core switch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2026-06-15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walks the critical path once a year, notes anywhere a single failure would stop dispatch, and records the fix or the accepted risk.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§6.14 (Network Availability); §6.15 (Diversity)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CP-7, PE-9, SC-5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Single-Point-of-Failure Assessment Record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