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Role-Specific Training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val="true"/>
                <w:bCs w:val="true"/>
                <w:i w:val="false"/>
                <w:iCs w:val="false"/>
              </w:rPr>
              <w:t xml:space="preserve">Authority: </w:t>
            </w:r>
            <w:r>
              <w:rPr>
                <w:rFonts w:ascii="Aptos" w:cs="Aptos" w:eastAsia="Aptos" w:hAnsi="Aptos"/>
                <w:sz w:val="24"/>
                <w:szCs w:val="24"/>
                <w:b w:val="false"/>
                <w:bCs w:val="false"/>
                <w:i w:val="false"/>
                <w:iCs w:val="false"/>
              </w:rPr>
              <w:t>Adopted by Wabash Valley Communications under the authority of Anthony Reyes, Director.</w:t>
            </w:r>
          </w:p>
          <w:p>
            <w:pPr>
              <w:spacing w:after="60"/>
            </w:pPr>
            <w:r>
              <w:rPr>
                <w:rFonts w:ascii="Aptos" w:cs="Aptos" w:eastAsia="Aptos" w:hAnsi="Aptos"/>
                <w:sz w:val="24"/>
                <w:szCs w:val="24"/>
                <w:b w:val="true"/>
                <w:bCs w:val="true"/>
                <w:i w:val="false"/>
                <w:iCs w:val="false"/>
              </w:rPr>
              <w:t xml:space="preserve">Version: </w:t>
            </w:r>
            <w:r>
              <w:rPr>
                <w:rFonts w:ascii="Aptos" w:cs="Aptos" w:eastAsia="Aptos" w:hAnsi="Aptos"/>
                <w:sz w:val="24"/>
                <w:szCs w:val="24"/>
                <w:b w:val="false"/>
                <w:bCs w:val="false"/>
                <w:i w:val="false"/>
                <w:iCs w:val="false"/>
              </w:rPr>
              <w:t xml:space="preserve">1.0    </w:t>
            </w:r>
            <w:r>
              <w:rPr>
                <w:rFonts w:ascii="Aptos" w:cs="Aptos" w:eastAsia="Aptos" w:hAnsi="Aptos"/>
                <w:sz w:val="24"/>
                <w:szCs w:val="24"/>
                <w:b w:val="true"/>
                <w:bCs w:val="true"/>
                <w:i w:val="false"/>
                <w:iCs w:val="false"/>
              </w:rPr>
              <w:t xml:space="preserve">Effective Date: </w:t>
            </w:r>
            <w:r>
              <w:rPr>
                <w:rFonts w:ascii="Aptos" w:cs="Aptos" w:eastAsia="Aptos" w:hAnsi="Aptos"/>
                <w:sz w:val="24"/>
                <w:szCs w:val="24"/>
                <w:b w:val="false"/>
                <w:bCs w:val="false"/>
                <w:i w:val="false"/>
                <w:iCs w:val="false"/>
              </w:rPr>
              <w:t xml:space="preserve">2026-06-15    </w:t>
            </w:r>
            <w:r>
              <w:rPr>
                <w:rFonts w:ascii="Aptos" w:cs="Aptos" w:eastAsia="Aptos" w:hAnsi="Aptos"/>
                <w:sz w:val="24"/>
                <w:szCs w:val="24"/>
                <w:b w:val="true"/>
                <w:bCs w:val="true"/>
                <w:i w:val="false"/>
                <w:iCs w:val="false"/>
              </w:rPr>
              <w:t xml:space="preserve">Next Review: </w:t>
            </w:r>
            <w:r>
              <w:rPr>
                <w:rFonts w:ascii="Aptos" w:cs="Aptos" w:eastAsia="Aptos" w:hAnsi="Aptos"/>
                <w:sz w:val="24"/>
                <w:szCs w:val="24"/>
                <w:b w:val="false"/>
                <w:bCs w:val="false"/>
                <w:i w:val="false"/>
                <w:iCs w:val="false"/>
              </w:rPr>
              <w:t xml:space="preserve">2027-06-15</w:t>
            </w:r>
          </w:p>
          <w:p>
            <w:pPr>
              <w:spacing w:after="60"/>
            </w:pPr>
            <w:r>
              <w:rPr>
                <w:rFonts w:ascii="Aptos" w:cs="Aptos" w:eastAsia="Aptos" w:hAnsi="Aptos"/>
                <w:sz w:val="24"/>
                <w:szCs w:val="24"/>
                <w:b w:val="true"/>
                <w:bCs w:val="true"/>
                <w:i w:val="false"/>
                <w:iCs w:val="false"/>
              </w:rPr>
              <w:t xml:space="preserve">Owner: </w:t>
            </w:r>
            <w:r>
              <w:rPr>
                <w:rFonts w:ascii="Aptos" w:cs="Aptos" w:eastAsia="Aptos" w:hAnsi="Aptos"/>
                <w:sz w:val="24"/>
                <w:szCs w:val="24"/>
                <w:b w:val="false"/>
                <w:bCs w:val="false"/>
                <w:i w:val="false"/>
                <w:iCs w:val="false"/>
              </w:rPr>
              <w:t>Security Coordinator</w:t>
            </w:r>
          </w:p>
          <w:p>
            <w:pPr>
              <w:spacing w:after="0"/>
            </w:pPr>
            <w:r>
              <w:rPr>
                <w:rFonts w:ascii="Aptos" w:cs="Aptos" w:eastAsia="Aptos" w:hAnsi="Aptos"/>
                <w:sz w:val="24"/>
                <w:szCs w:val="24"/>
                <w:b w:val="true"/>
                <w:bCs w:val="true"/>
                <w:i w:val="false"/>
                <w:iCs w:val="false"/>
              </w:rPr>
              <w:t xml:space="preserve">Classification: </w:t>
            </w:r>
            <w:r>
              <w:rPr>
                <w:rFonts w:ascii="Aptos" w:cs="Aptos" w:eastAsia="Aptos" w:hAnsi="Aptos"/>
                <w:sz w:val="24"/>
                <w:szCs w:val="24"/>
                <w:b w:val="false"/>
                <w:bCs w:val="false"/>
                <w:i w:val="false"/>
                <w:iCs w:val="false"/>
              </w:rPr>
              <w:t>Internal</w:t>
            </w:r>
          </w:p>
        </w:tc>
      </w:tr>
    </w:tbl>
    <w:p>
      <w:pPr>
        <w:spacing w:after="60"/>
      </w:pPr>
    </w:p>
    <w:p>
      <w:pPr>
        <w:pStyle w:val="Heading2"/>
        <w:spacing w:after="100" w:before="220"/>
      </w:pPr>
      <w:r>
        <w:rPr>
          <w:rFonts w:ascii="Aptos" w:cs="Aptos" w:eastAsia="Aptos" w:hAnsi="Aptos"/>
          <w:sz w:val="26"/>
          <w:szCs w:val="26"/>
          <w:b w:val="true"/>
          <w:bCs w:val="true"/>
          <w:i w:val="false"/>
          <w:iCs w:val="false"/>
          <w:color w:val="1B3A5C"/>
        </w:rPr>
        <w:t xml:space="preserve">1. Purpose and Scope</w:t>
      </w:r>
    </w:p>
    <w:p>
      <w:pPr>
        <w:spacing w:after="120" w:before="0"/>
      </w:pPr>
      <w:r>
        <w:rPr>
          <w:rFonts w:ascii="Aptos" w:cs="Aptos" w:eastAsia="Aptos" w:hAnsi="Aptos"/>
          <w:sz w:val="24"/>
          <w:szCs w:val="24"/>
          <w:b w:val="false"/>
          <w:bCs w:val="false"/>
          <w:i w:val="false"/>
          <w:iCs w:val="false"/>
        </w:rPr>
        <w:t xml:space="preserve">Purpose: This material carries the Agency's role-specific security training. It sets out what each specialized track teaches, who must complete it, how understanding is checked, and how often it is refreshed.</w:t>
      </w:r>
    </w:p>
    <w:p>
      <w:pPr>
        <w:spacing w:after="120" w:before="0"/>
      </w:pPr>
      <w:r>
        <w:rPr>
          <w:rFonts w:ascii="Aptos" w:cs="Aptos" w:eastAsia="Aptos" w:hAnsi="Aptos"/>
          <w:sz w:val="24"/>
          <w:szCs w:val="24"/>
          <w:b w:val="false"/>
          <w:bCs w:val="false"/>
          <w:i w:val="false"/>
          <w:iCs w:val="false"/>
        </w:rPr>
        <w:t xml:space="preserve">Scope: Applies to every member of the workforce whose duties fall within a track below, including Agency staff, county or contracted IT, and vendor personnel with access. Baseline security awareness training for all personnel is set by the Cybersecurity Training Plan and is not repeated here.</w:t>
      </w:r>
    </w:p>
    <w:p>
      <w:pPr>
        <w:pStyle w:val="Heading2"/>
        <w:spacing w:after="100" w:before="220"/>
      </w:pPr>
      <w:r>
        <w:rPr>
          <w:rFonts w:ascii="Aptos" w:cs="Aptos" w:eastAsia="Aptos" w:hAnsi="Aptos"/>
          <w:sz w:val="26"/>
          <w:szCs w:val="26"/>
          <w:b w:val="true"/>
          <w:bCs w:val="true"/>
          <w:i w:val="false"/>
          <w:iCs w:val="false"/>
          <w:color w:val="1B3A5C"/>
        </w:rPr>
        <w:t xml:space="preserve">2. How Training Is Assigned</w:t>
      </w:r>
    </w:p>
    <w:p>
      <w:pPr>
        <w:spacing w:after="120" w:before="0"/>
      </w:pPr>
      <w:r>
        <w:rPr>
          <w:rFonts w:ascii="Aptos" w:cs="Aptos" w:eastAsia="Aptos" w:hAnsi="Aptos"/>
          <w:sz w:val="24"/>
          <w:szCs w:val="24"/>
          <w:b w:val="false"/>
          <w:bCs w:val="false"/>
          <w:i w:val="false"/>
          <w:iCs w:val="false"/>
        </w:rPr>
        <w:t xml:space="preserve">Job titles vary between agencies, and the same title covers different work at different centers. Each track is therefore assigned by what a person does, not by what their title says. Work through the trigger in the middle column for every member of the workforce, including county or contracted IT and vendor personnel, then write the Agency's own role titles into the third column.</w:t>
      </w:r>
    </w:p>
    <w:p>
      <w:pPr>
        <w:spacing w:after="120" w:before="0"/>
      </w:pPr>
      <w:r>
        <w:rPr>
          <w:rFonts w:ascii="Aptos" w:cs="Aptos" w:eastAsia="Aptos" w:hAnsi="Aptos"/>
          <w:sz w:val="24"/>
          <w:szCs w:val="24"/>
          <w:b w:val="false"/>
          <w:bCs w:val="false"/>
          <w:i w:val="false"/>
          <w:iCs w:val="false"/>
        </w:rPr>
        <w:t xml:space="preserve">One person can hold several tracks. At a small agency most tracks land on the same one or two people, which is the expected result rather than a filing error. A track with nobody assigned is worth a second look: either the Agency does not perform that function at all, or someone is performing it without the training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cantSplit/>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Track</w:t>
            </w:r>
          </w:p>
        </w:tc>
        <w:tc>
          <w:tcPr>
            <w:tcW w:type="dxa" w:w="4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Assign this track to anyone who</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Agency roles assigned</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Secure Configuration and Maintenance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patches, hardens, or changes an Agency system.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the ESInet vendor’s field technician under the vendor agreement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 Privileged and Elevated Access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administrative, root, or other elevated credential on any Agency system, including county IT and vendor accounts.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Security Coordinator; vendor accounts issued for a maintenance window</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 Monitoring and Log Review</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Reviews logs, triages alerts, or operates a monitoring tool.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shared county IT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 Incident Response and Evidence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assigned role in the Incident Response Plan (IRP), or may handle evidence.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Director; shift supervisors; shared county IT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 Sensitive Data and Media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Creates, views, transmits, transports, or destroys Restricted or Confidential information, or the media that holds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dispatchers; shift supervisors; administrative staff; Director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 Physical and Visual Safeguards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Works in, or escorts anyone through, a controlled area.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 across both shifts, plus escorted contractors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 Program Governance and Oversight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Approves policy, accepts risk on the Agency's behalf, or reports program status to a board, county authority, or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bl>
    <w:p>
      <w:pPr>
        <w:pStyle w:val="Heading2"/>
        <w:spacing w:after="100" w:before="220"/>
      </w:pPr>
      <w:r>
        <w:rPr>
          <w:rFonts w:ascii="Aptos" w:cs="Aptos" w:eastAsia="Aptos" w:hAnsi="Aptos"/>
          <w:sz w:val="26"/>
          <w:szCs w:val="26"/>
          <w:b w:val="true"/>
          <w:bCs w:val="true"/>
          <w:i w:val="false"/>
          <w:iCs w:val="false"/>
          <w:color w:val="1B3A5C"/>
        </w:rPr>
        <w:t xml:space="preserve">3. Delivery Method</w:t>
      </w:r>
    </w:p>
    <w:p>
      <w:pPr>
        <w:spacing w:after="120" w:before="0"/>
      </w:pPr>
      <w:r>
        <w:rPr>
          <w:rFonts w:ascii="Aptos" w:cs="Aptos" w:eastAsia="Aptos" w:hAnsi="Aptos"/>
          <w:sz w:val="24"/>
          <w:szCs w:val="24"/>
          <w:b w:val="false"/>
          <w:bCs w:val="false"/>
          <w:i w:val="false"/>
          <w:iCs w:val="false"/>
        </w:rPr>
        <w:t>Delivery: short online modules assigned through shared county IT’s training platform, with two tracks delivered in person: Track D through the semi-annual tabletop exercise, and Track F as a walkthrough of the controlled areas at shift change. A track may be split across shifts, provided the whole track is completed before the due date.</w:t>
      </w:r>
    </w:p>
    <w:p>
      <w:pPr>
        <w:spacing w:after="120" w:before="0"/>
      </w:pPr>
      <w:r>
        <w:rPr>
          <w:rFonts w:ascii="Aptos" w:cs="Aptos" w:eastAsia="Aptos" w:hAnsi="Aptos"/>
          <w:sz w:val="24"/>
          <w:szCs w:val="24"/>
          <w:b w:val="false"/>
          <w:bCs w:val="false"/>
          <w:i w:val="false"/>
          <w:iCs w:val="false"/>
        </w:rPr>
        <w:t>Duration: 45 minutes each for Tracks E, F and G, and about two hours for each technical track. Each track is delivered at assignment, before the person performs the function unsupervised, and then on the refresh cadence stated in the track.</w:t>
      </w:r>
    </w:p>
    <w:p>
      <w:pPr>
        <w:spacing w:after="120" w:before="0"/>
      </w:pPr>
      <w:r>
        <w:rPr>
          <w:rFonts w:ascii="Aptos" w:cs="Aptos" w:eastAsia="Aptos" w:hAnsi="Aptos"/>
          <w:sz w:val="24"/>
          <w:szCs w:val="24"/>
          <w:b w:val="false"/>
          <w:bCs w:val="false"/>
          <w:i w:val="false"/>
          <w:iCs w:val="false"/>
        </w:rPr>
        <w:t xml:space="preserve">Where a track is delivered by a vendor or by county IT, the Agency keeps the record and confirms the content covers the modules listed here. Buying the training does not transfer the obligation to prove it happened.</w:t>
      </w:r>
    </w:p>
    <w:p>
      <w:pPr>
        <w:pStyle w:val="Heading2"/>
        <w:spacing w:after="100" w:before="220"/>
      </w:pPr>
      <w:r>
        <w:rPr>
          <w:rFonts w:ascii="Aptos" w:cs="Aptos" w:eastAsia="Aptos" w:hAnsi="Aptos"/>
          <w:sz w:val="26"/>
          <w:szCs w:val="26"/>
          <w:b w:val="true"/>
          <w:bCs w:val="true"/>
          <w:i w:val="false"/>
          <w:iCs w:val="false"/>
          <w:color w:val="1B3A5C"/>
        </w:rPr>
        <w:t xml:space="preserve">4. Training Tracks</w:t>
      </w:r>
    </w:p>
    <w:p>
      <w:pPr>
        <w:spacing w:after="120" w:before="0"/>
      </w:pPr>
      <w:r>
        <w:rPr>
          <w:rFonts w:ascii="Aptos" w:cs="Aptos" w:eastAsia="Aptos" w:hAnsi="Aptos"/>
          <w:sz w:val="24"/>
          <w:szCs w:val="24"/>
          <w:b w:val="false"/>
          <w:bCs w:val="false"/>
          <w:i w:val="false"/>
          <w:iCs w:val="false"/>
        </w:rPr>
        <w:t xml:space="preserve">Every track sits above the baseline security awareness training that all personnel complete. Where a topic appears in both, the baseline teaches the rule and the track teaches the practice: the baseline says do not let anyone tailgate, and Track F teaches how to challenge, escort, and report.</w:t>
      </w:r>
    </w:p>
    <w:p>
      <w:pPr>
        <w:pStyle w:val="Heading3"/>
      </w:pPr>
      <w:r>
        <w:t xml:space="preserve">Track A. Secure Configuration and Maintenance</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configures, patches, hardens, or changes an Agency system. At most agencies this covers county or contracted IT, the CAD or ESInet vendor's field technician, and anyone who installs or updates software on a dispatch workstation.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build a system to the Agency's configuration baseline and record any deviation they could not close</w:t>
      </w:r>
    </w:p>
    <w:p>
      <w:pPr>
        <w:pStyle w:val="ListParagraph"/>
        <w:numPr>
          <w:ilvl w:val="0"/>
          <w:numId w:val="2"/>
        </w:numPr>
        <w:spacing w:after="60"/>
      </w:pPr>
      <w:r>
        <w:rPr>
          <w:rFonts w:ascii="Aptos" w:cs="Aptos" w:eastAsia="Aptos" w:hAnsi="Aptos"/>
          <w:sz w:val="24"/>
          <w:szCs w:val="24"/>
          <w:b w:val="false"/>
          <w:bCs w:val="false"/>
          <w:i w:val="false"/>
          <w:iCs w:val="false"/>
        </w:rPr>
        <w:t xml:space="preserve">test a patch before it reaches a live dispatch position, and say what “tested” means</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change that needs approval before it is made</w:t>
      </w:r>
    </w:p>
    <w:p>
      <w:pPr>
        <w:pStyle w:val="ListParagraph"/>
        <w:numPr>
          <w:ilvl w:val="0"/>
          <w:numId w:val="2"/>
        </w:numPr>
        <w:spacing w:after="60"/>
      </w:pPr>
      <w:r>
        <w:rPr>
          <w:rFonts w:ascii="Aptos" w:cs="Aptos" w:eastAsia="Aptos" w:hAnsi="Aptos"/>
          <w:sz w:val="24"/>
          <w:szCs w:val="24"/>
          <w:b w:val="false"/>
          <w:bCs w:val="false"/>
          <w:i w:val="false"/>
          <w:iCs w:val="false"/>
        </w:rPr>
        <w:t xml:space="preserve">spot configuration drift and report it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0"/>
        </w:numPr>
        <w:spacing w:after="60"/>
      </w:pPr>
      <w:r>
        <w:rPr>
          <w:rFonts w:ascii="Aptos" w:cs="Aptos" w:eastAsia="Aptos" w:hAnsi="Aptos"/>
          <w:sz w:val="24"/>
          <w:szCs w:val="24"/>
          <w:b w:val="true"/>
          <w:bCs w:val="true"/>
          <w:i w:val="false"/>
          <w:iCs w:val="false"/>
        </w:rPr>
        <w:t xml:space="preserve">Working from a baseline. </w:t>
      </w:r>
      <w:r>
        <w:rPr>
          <w:rFonts w:ascii="Aptos" w:cs="Aptos" w:eastAsia="Aptos" w:hAnsi="Aptos"/>
          <w:sz w:val="24"/>
          <w:szCs w:val="24"/>
          <w:b w:val="false"/>
          <w:bCs w:val="false"/>
          <w:i w:val="false"/>
          <w:iCs w:val="false"/>
        </w:rPr>
        <w:t xml:space="preserve">The baseline is the approved starting state for each system type. A build that departs from it is a deviation, not a preference. Every deviation is recorded with a reason and a review date, so the next technician inherits a decision instead of a mystery.</w:t>
      </w:r>
    </w:p>
    <w:p>
      <w:pPr>
        <w:pStyle w:val="ListParagraph"/>
        <w:numPr>
          <w:ilvl w:val="0"/>
          <w:numId w:val="200"/>
        </w:numPr>
        <w:spacing w:after="60"/>
      </w:pPr>
      <w:r>
        <w:rPr>
          <w:rFonts w:ascii="Aptos" w:cs="Aptos" w:eastAsia="Aptos" w:hAnsi="Aptos"/>
          <w:sz w:val="24"/>
          <w:szCs w:val="24"/>
          <w:b w:val="true"/>
          <w:bCs w:val="true"/>
          <w:i w:val="false"/>
          <w:iCs w:val="false"/>
        </w:rPr>
        <w:t xml:space="preserve">Patching without taking dispatch down. </w:t>
      </w:r>
      <w:r>
        <w:rPr>
          <w:rFonts w:ascii="Aptos" w:cs="Aptos" w:eastAsia="Aptos" w:hAnsi="Aptos"/>
          <w:sz w:val="24"/>
          <w:szCs w:val="24"/>
          <w:b w:val="false"/>
          <w:bCs w:val="false"/>
          <w:i w:val="false"/>
          <w:iCs w:val="false"/>
        </w:rPr>
        <w:t xml:space="preserve">Patches reach a test position or a maintenance window first. A live 9-1-1 position is never the test. The rollback path is known before the patch is applied. An emergency patch follows the same path compressed, not skipped.</w:t>
      </w:r>
    </w:p>
    <w:p>
      <w:pPr>
        <w:pStyle w:val="ListParagraph"/>
        <w:numPr>
          <w:ilvl w:val="0"/>
          <w:numId w:val="200"/>
        </w:numPr>
        <w:spacing w:after="60"/>
      </w:pPr>
      <w:r>
        <w:rPr>
          <w:rFonts w:ascii="Aptos" w:cs="Aptos" w:eastAsia="Aptos" w:hAnsi="Aptos"/>
          <w:sz w:val="24"/>
          <w:szCs w:val="24"/>
          <w:b w:val="true"/>
          <w:bCs w:val="true"/>
          <w:i w:val="false"/>
          <w:iCs w:val="false"/>
        </w:rPr>
        <w:t xml:space="preserve">Turning off what came in the box. </w:t>
      </w:r>
      <w:r>
        <w:rPr>
          <w:rFonts w:ascii="Aptos" w:cs="Aptos" w:eastAsia="Aptos" w:hAnsi="Aptos"/>
          <w:sz w:val="24"/>
          <w:szCs w:val="24"/>
          <w:b w:val="false"/>
          <w:bCs w:val="false"/>
          <w:i w:val="false"/>
          <w:iCs w:val="false"/>
        </w:rPr>
        <w:t xml:space="preserve">Default services, ports, and accounts that shipped with the system and are not needed get disabled. “We might need it later” is not a reason to leave an attack path open.</w:t>
      </w:r>
    </w:p>
    <w:p>
      <w:pPr>
        <w:pStyle w:val="ListParagraph"/>
        <w:numPr>
          <w:ilvl w:val="0"/>
          <w:numId w:val="200"/>
        </w:numPr>
        <w:spacing w:after="60"/>
      </w:pPr>
      <w:r>
        <w:rPr>
          <w:rFonts w:ascii="Aptos" w:cs="Aptos" w:eastAsia="Aptos" w:hAnsi="Aptos"/>
          <w:sz w:val="24"/>
          <w:szCs w:val="24"/>
          <w:b w:val="true"/>
          <w:bCs w:val="true"/>
          <w:i w:val="false"/>
          <w:iCs w:val="false"/>
        </w:rPr>
        <w:t xml:space="preserve">Change approval. </w:t>
      </w:r>
      <w:r>
        <w:rPr>
          <w:rFonts w:ascii="Aptos" w:cs="Aptos" w:eastAsia="Aptos" w:hAnsi="Aptos"/>
          <w:sz w:val="24"/>
          <w:szCs w:val="24"/>
          <w:b w:val="false"/>
          <w:bCs w:val="false"/>
          <w:i w:val="false"/>
          <w:iCs w:val="false"/>
        </w:rPr>
        <w:t xml:space="preserve">What counts as a change, who approves it, and what gets recorded. An undocumented change is the hardest kind of outage to diagnose, because nobody can tell you what moved.</w:t>
      </w:r>
    </w:p>
    <w:p>
      <w:pPr>
        <w:pStyle w:val="ListParagraph"/>
        <w:numPr>
          <w:ilvl w:val="0"/>
          <w:numId w:val="200"/>
        </w:numPr>
        <w:spacing w:after="60"/>
      </w:pPr>
      <w:r>
        <w:rPr>
          <w:rFonts w:ascii="Aptos" w:cs="Aptos" w:eastAsia="Aptos" w:hAnsi="Aptos"/>
          <w:sz w:val="24"/>
          <w:szCs w:val="24"/>
          <w:b w:val="true"/>
          <w:bCs w:val="true"/>
          <w:i w:val="false"/>
          <w:iCs w:val="false"/>
        </w:rPr>
        <w:t xml:space="preserve">Drift. </w:t>
      </w:r>
      <w:r>
        <w:rPr>
          <w:rFonts w:ascii="Aptos" w:cs="Aptos" w:eastAsia="Aptos" w:hAnsi="Aptos"/>
          <w:sz w:val="24"/>
          <w:szCs w:val="24"/>
          <w:b w:val="false"/>
          <w:bCs w:val="false"/>
          <w:i w:val="false"/>
          <w:iCs w:val="false"/>
        </w:rPr>
        <w:t xml:space="preserve">Systems wander away from baseline over time through small local fixes. How the Agency checks, how often, and what happens when a check finds something.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technician walks one system from baseline to running state and names every deviation with its justification. Passing means each deviation is either closed or recorded, and the rollback path for the last patch applied can be described from memory.</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System Configuration Baselines (per system type)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Certification is assessed against the equipment the person actually maintains. A general technician-level security certification is the common entry point; platform certifications matter where the Agency runs that platform. Shared county IT staff hold general security certifications through the county’s own program. The Agency confirms each certification covers the platforms Wabash Valley actually runs, and funds platform training where it does not.</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System Configuration Baselines (per system type) · Change Management Policy · Configuration Drift Detection Records · Endpoint Hardening Checklist · Patch Testing Procedure · Patch Management Schedule &amp; Tracking Log.</w:t>
      </w:r>
    </w:p>
    <w:p>
      <w:pPr>
        <w:pStyle w:val="Heading3"/>
      </w:pPr>
      <w:r>
        <w:t xml:space="preserve">Track B. Privileged and Elevated Access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administrative, root, or other elevated credential on any Agency system, including county IT and vendor accounts. This covers the account a vendor uses during a maintenance window and any dispatcher who administers CAD users, not only the people with “administrator” in a job title.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use an elevated account only for work that requires it, and a standard account for everything else</w:t>
      </w:r>
    </w:p>
    <w:p>
      <w:pPr>
        <w:pStyle w:val="ListParagraph"/>
        <w:numPr>
          <w:ilvl w:val="0"/>
          <w:numId w:val="2"/>
        </w:numPr>
        <w:spacing w:after="60"/>
      </w:pPr>
      <w:r>
        <w:rPr>
          <w:rFonts w:ascii="Aptos" w:cs="Aptos" w:eastAsia="Aptos" w:hAnsi="Aptos"/>
          <w:sz w:val="24"/>
          <w:szCs w:val="24"/>
          <w:b w:val="false"/>
          <w:bCs w:val="false"/>
          <w:i w:val="false"/>
          <w:iCs w:val="false"/>
        </w:rPr>
        <w:t xml:space="preserve">state the conduct rules that attach to their elevated account</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an action that needs a second approval before it is taken</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suspected credential exposure without waiting to be certain</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1"/>
        </w:numPr>
        <w:spacing w:after="60"/>
      </w:pPr>
      <w:r>
        <w:rPr>
          <w:rFonts w:ascii="Aptos" w:cs="Aptos" w:eastAsia="Aptos" w:hAnsi="Aptos"/>
          <w:sz w:val="24"/>
          <w:szCs w:val="24"/>
          <w:b w:val="true"/>
          <w:bCs w:val="true"/>
          <w:i w:val="false"/>
          <w:iCs w:val="false"/>
        </w:rPr>
        <w:t xml:space="preserve">Two accounts, two purposes. </w:t>
      </w:r>
      <w:r>
        <w:rPr>
          <w:rFonts w:ascii="Aptos" w:cs="Aptos" w:eastAsia="Aptos" w:hAnsi="Aptos"/>
          <w:sz w:val="24"/>
          <w:szCs w:val="24"/>
          <w:b w:val="false"/>
          <w:bCs w:val="false"/>
          <w:i w:val="false"/>
          <w:iCs w:val="false"/>
        </w:rPr>
        <w:t xml:space="preserve">Elevated accounts are for administrative work. Email, browsing, and daily use happen on a standard account. The reason is blast radius: a phishing click on an admin session costs far more than the same click on a standard one.</w:t>
      </w:r>
    </w:p>
    <w:p>
      <w:pPr>
        <w:pStyle w:val="ListParagraph"/>
        <w:numPr>
          <w:ilvl w:val="0"/>
          <w:numId w:val="201"/>
        </w:numPr>
        <w:spacing w:after="60"/>
      </w:pPr>
      <w:r>
        <w:rPr>
          <w:rFonts w:ascii="Aptos" w:cs="Aptos" w:eastAsia="Aptos" w:hAnsi="Aptos"/>
          <w:sz w:val="24"/>
          <w:szCs w:val="24"/>
          <w:b w:val="true"/>
          <w:bCs w:val="true"/>
          <w:i w:val="false"/>
          <w:iCs w:val="false"/>
        </w:rPr>
        <w:t xml:space="preserve">The rules that come with the privilege. </w:t>
      </w:r>
      <w:r>
        <w:rPr>
          <w:rFonts w:ascii="Aptos" w:cs="Aptos" w:eastAsia="Aptos" w:hAnsi="Aptos"/>
          <w:sz w:val="24"/>
          <w:szCs w:val="24"/>
          <w:b w:val="false"/>
          <w:bCs w:val="false"/>
          <w:i w:val="false"/>
          <w:iCs w:val="false"/>
        </w:rPr>
        <w:t xml:space="preserve">What an administrator may not do even though the system will allow it: opening records without a business need, altering logs, creating accounts outside the request process. The acknowledgment is signed before the account is issued and re-signed on the review cycle.</w:t>
      </w:r>
    </w:p>
    <w:p>
      <w:pPr>
        <w:pStyle w:val="ListParagraph"/>
        <w:numPr>
          <w:ilvl w:val="0"/>
          <w:numId w:val="201"/>
        </w:numPr>
        <w:spacing w:after="60"/>
      </w:pPr>
      <w:r>
        <w:rPr>
          <w:rFonts w:ascii="Aptos" w:cs="Aptos" w:eastAsia="Aptos" w:hAnsi="Aptos"/>
          <w:sz w:val="24"/>
          <w:szCs w:val="24"/>
          <w:b w:val="true"/>
          <w:bCs w:val="true"/>
          <w:i w:val="false"/>
          <w:iCs w:val="false"/>
        </w:rPr>
        <w:t xml:space="preserve">Accountability. </w:t>
      </w:r>
      <w:r>
        <w:rPr>
          <w:rFonts w:ascii="Aptos" w:cs="Aptos" w:eastAsia="Aptos" w:hAnsi="Aptos"/>
          <w:sz w:val="24"/>
          <w:szCs w:val="24"/>
          <w:b w:val="false"/>
          <w:bCs w:val="false"/>
          <w:i w:val="false"/>
          <w:iCs w:val="false"/>
        </w:rPr>
        <w:t xml:space="preserve">Privileged actions are logged and reviewed. Accountability attaches to the person, not the account, which is why shared administrator credentials are not used. If two people can use one credential, neither can be held to what it did.</w:t>
      </w:r>
    </w:p>
    <w:p>
      <w:pPr>
        <w:pStyle w:val="ListParagraph"/>
        <w:numPr>
          <w:ilvl w:val="0"/>
          <w:numId w:val="201"/>
        </w:numPr>
        <w:spacing w:after="60"/>
      </w:pPr>
      <w:r>
        <w:rPr>
          <w:rFonts w:ascii="Aptos" w:cs="Aptos" w:eastAsia="Aptos" w:hAnsi="Aptos"/>
          <w:sz w:val="24"/>
          <w:szCs w:val="24"/>
          <w:b w:val="true"/>
          <w:bCs w:val="true"/>
          <w:i w:val="false"/>
          <w:iCs w:val="false"/>
        </w:rPr>
        <w:t xml:space="preserve">Vendor and temporary elevation. </w:t>
      </w:r>
      <w:r>
        <w:rPr>
          <w:rFonts w:ascii="Aptos" w:cs="Aptos" w:eastAsia="Aptos" w:hAnsi="Aptos"/>
          <w:sz w:val="24"/>
          <w:szCs w:val="24"/>
          <w:b w:val="false"/>
          <w:bCs w:val="false"/>
          <w:i w:val="false"/>
          <w:iCs w:val="false"/>
        </w:rPr>
        <w:t xml:space="preserve">Elevation is granted for a defined window and removed when the window closes. Who authorizes it, what is recorded, and who confirms the removal.</w:t>
      </w:r>
    </w:p>
    <w:p>
      <w:pPr>
        <w:pStyle w:val="ListParagraph"/>
        <w:numPr>
          <w:ilvl w:val="0"/>
          <w:numId w:val="201"/>
        </w:numPr>
        <w:spacing w:after="60"/>
      </w:pPr>
      <w:r>
        <w:rPr>
          <w:rFonts w:ascii="Aptos" w:cs="Aptos" w:eastAsia="Aptos" w:hAnsi="Aptos"/>
          <w:sz w:val="24"/>
          <w:szCs w:val="24"/>
          <w:b w:val="true"/>
          <w:bCs w:val="true"/>
          <w:i w:val="false"/>
          <w:iCs w:val="false"/>
        </w:rPr>
        <w:t xml:space="preserve">When a credential is exposed. </w:t>
      </w:r>
      <w:r>
        <w:rPr>
          <w:rFonts w:ascii="Aptos" w:cs="Aptos" w:eastAsia="Aptos" w:hAnsi="Aptos"/>
          <w:sz w:val="24"/>
          <w:szCs w:val="24"/>
          <w:b w:val="false"/>
          <w:bCs w:val="false"/>
          <w:i w:val="false"/>
          <w:iCs w:val="false"/>
        </w:rPr>
        <w:t xml:space="preserve">What counts as exposure, who to tell, and why reporting a suspicion beats confirming a breach. A false alarm costs an hour; a delayed report costs the investigation.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 short scenario set in which the learner decides whether each action is permitted, needs approval, or must be reported. Passing requires every reportable scenario identified correctly. Missing a reportable event fails the check regardless of the other answers.</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elevated account is issued, then annually, and on any change to the privileged access rules. The conduct acknowledgment is re-signed on the same cycle.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No separate credential is expected for this track. Where the Agency runs a platform with its own administration training (directory services, CAD administration, network devices), that vendor training counts toward this track. Directory and CAD administration training is required before an elevated account is issued, delivered by the vendor and repeated when the platform changes.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Privileged Access Management (PAM) Policy · Acceptable Use Policy (AUP) · Access Control Policy · Privileged &amp; Service Account Inventory · Signed Acknowledgment Records.</w:t>
      </w:r>
    </w:p>
    <w:p>
      <w:pPr>
        <w:pStyle w:val="Heading3"/>
      </w:pPr>
      <w:r>
        <w:t xml:space="preserve">Track C. Monitoring and Log Review</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reviews logs, triages alerts, or operates a monitoring tool. At a small agency this is often the same person who holds Track A, working through a monthly review rather than a live console.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complete a log review on the Agency's cycle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separate an alert that needs action from routine noise</w:t>
      </w:r>
    </w:p>
    <w:p>
      <w:pPr>
        <w:pStyle w:val="ListParagraph"/>
        <w:numPr>
          <w:ilvl w:val="0"/>
          <w:numId w:val="2"/>
        </w:numPr>
        <w:spacing w:after="60"/>
      </w:pPr>
      <w:r>
        <w:rPr>
          <w:rFonts w:ascii="Aptos" w:cs="Aptos" w:eastAsia="Aptos" w:hAnsi="Aptos"/>
          <w:sz w:val="24"/>
          <w:szCs w:val="24"/>
          <w:b w:val="false"/>
          <w:bCs w:val="false"/>
          <w:i w:val="false"/>
          <w:iCs w:val="false"/>
        </w:rPr>
        <w:t xml:space="preserve">escalate on the Agency's stated threshold rather than personal judgment</w:t>
      </w:r>
    </w:p>
    <w:p>
      <w:pPr>
        <w:pStyle w:val="ListParagraph"/>
        <w:numPr>
          <w:ilvl w:val="0"/>
          <w:numId w:val="2"/>
        </w:numPr>
        <w:spacing w:after="60"/>
      </w:pPr>
      <w:r>
        <w:rPr>
          <w:rFonts w:ascii="Aptos" w:cs="Aptos" w:eastAsia="Aptos" w:hAnsi="Aptos"/>
          <w:sz w:val="24"/>
          <w:szCs w:val="24"/>
          <w:b w:val="false"/>
          <w:bCs w:val="false"/>
          <w:i w:val="false"/>
          <w:iCs w:val="false"/>
        </w:rPr>
        <w:t xml:space="preserve">explain what “we would have caught it” actually requires</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2"/>
        </w:numPr>
        <w:spacing w:after="60"/>
      </w:pPr>
      <w:r>
        <w:rPr>
          <w:rFonts w:ascii="Aptos" w:cs="Aptos" w:eastAsia="Aptos" w:hAnsi="Aptos"/>
          <w:sz w:val="24"/>
          <w:szCs w:val="24"/>
          <w:b w:val="true"/>
          <w:bCs w:val="true"/>
          <w:i w:val="false"/>
          <w:iCs w:val="false"/>
        </w:rPr>
        <w:t xml:space="preserve">What is logged, and what that is worth. </w:t>
      </w:r>
      <w:r>
        <w:rPr>
          <w:rFonts w:ascii="Aptos" w:cs="Aptos" w:eastAsia="Aptos" w:hAnsi="Aptos"/>
          <w:sz w:val="24"/>
          <w:szCs w:val="24"/>
          <w:b w:val="false"/>
          <w:bCs w:val="false"/>
          <w:i w:val="false"/>
          <w:iCs w:val="false"/>
        </w:rPr>
        <w:t xml:space="preserve">Which systems generate logs and what each is good for. Logging and reviewing are different activities: a log nobody reads is storage, not detection.</w:t>
      </w:r>
    </w:p>
    <w:p>
      <w:pPr>
        <w:pStyle w:val="ListParagraph"/>
        <w:numPr>
          <w:ilvl w:val="0"/>
          <w:numId w:val="202"/>
        </w:numPr>
        <w:spacing w:after="60"/>
      </w:pPr>
      <w:r>
        <w:rPr>
          <w:rFonts w:ascii="Aptos" w:cs="Aptos" w:eastAsia="Aptos" w:hAnsi="Aptos"/>
          <w:sz w:val="24"/>
          <w:szCs w:val="24"/>
          <w:b w:val="true"/>
          <w:bCs w:val="true"/>
          <w:i w:val="false"/>
          <w:iCs w:val="false"/>
        </w:rPr>
        <w:t xml:space="preserve">The review itself. </w:t>
      </w:r>
      <w:r>
        <w:rPr>
          <w:rFonts w:ascii="Aptos" w:cs="Aptos" w:eastAsia="Aptos" w:hAnsi="Aptos"/>
          <w:sz w:val="24"/>
          <w:szCs w:val="24"/>
          <w:b w:val="false"/>
          <w:bCs w:val="false"/>
          <w:i w:val="false"/>
          <w:iCs w:val="false"/>
        </w:rPr>
        <w:t xml:space="preserve">The cycle, what the reviewer looks for, and what gets written down when nothing turns up. A review with no findings is still evidence, and an absent record reads to an assessor as an absent review.</w:t>
      </w:r>
    </w:p>
    <w:p>
      <w:pPr>
        <w:pStyle w:val="ListParagraph"/>
        <w:numPr>
          <w:ilvl w:val="0"/>
          <w:numId w:val="202"/>
        </w:numPr>
        <w:spacing w:after="60"/>
      </w:pPr>
      <w:r>
        <w:rPr>
          <w:rFonts w:ascii="Aptos" w:cs="Aptos" w:eastAsia="Aptos" w:hAnsi="Aptos"/>
          <w:sz w:val="24"/>
          <w:szCs w:val="24"/>
          <w:b w:val="true"/>
          <w:bCs w:val="true"/>
          <w:i w:val="false"/>
          <w:iCs w:val="false"/>
        </w:rPr>
        <w:t xml:space="preserve">Triage. </w:t>
      </w:r>
      <w:r>
        <w:rPr>
          <w:rFonts w:ascii="Aptos" w:cs="Aptos" w:eastAsia="Aptos" w:hAnsi="Aptos"/>
          <w:sz w:val="24"/>
          <w:szCs w:val="24"/>
          <w:b w:val="false"/>
          <w:bCs w:val="false"/>
          <w:i w:val="false"/>
          <w:iCs w:val="false"/>
        </w:rPr>
        <w:t xml:space="preserve">How to rank an alert, the false-positive patterns the Agency sees most, and the real cost of alert fatigue: the tenth identical alert gets the attention the first one deserved.</w:t>
      </w:r>
    </w:p>
    <w:p>
      <w:pPr>
        <w:pStyle w:val="ListParagraph"/>
        <w:numPr>
          <w:ilvl w:val="0"/>
          <w:numId w:val="202"/>
        </w:numPr>
        <w:spacing w:after="60"/>
      </w:pPr>
      <w:r>
        <w:rPr>
          <w:rFonts w:ascii="Aptos" w:cs="Aptos" w:eastAsia="Aptos" w:hAnsi="Aptos"/>
          <w:sz w:val="24"/>
          <w:szCs w:val="24"/>
          <w:b w:val="true"/>
          <w:bCs w:val="true"/>
          <w:i w:val="false"/>
          <w:iCs w:val="false"/>
        </w:rPr>
        <w:t xml:space="preserve">Escalation. </w:t>
      </w:r>
      <w:r>
        <w:rPr>
          <w:rFonts w:ascii="Aptos" w:cs="Aptos" w:eastAsia="Aptos" w:hAnsi="Aptos"/>
          <w:sz w:val="24"/>
          <w:szCs w:val="24"/>
          <w:b w:val="false"/>
          <w:bCs w:val="false"/>
          <w:i w:val="false"/>
          <w:iCs w:val="false"/>
        </w:rPr>
        <w:t xml:space="preserve">The threshold that turns an alert into an incident, who gets called, and how quickly. Escalating early is not a mistake. Waiting to be sure is.</w:t>
      </w:r>
    </w:p>
    <w:p>
      <w:pPr>
        <w:pStyle w:val="ListParagraph"/>
        <w:numPr>
          <w:ilvl w:val="0"/>
          <w:numId w:val="202"/>
        </w:numPr>
        <w:spacing w:after="60"/>
      </w:pPr>
      <w:r>
        <w:rPr>
          <w:rFonts w:ascii="Aptos" w:cs="Aptos" w:eastAsia="Aptos" w:hAnsi="Aptos"/>
          <w:sz w:val="24"/>
          <w:szCs w:val="24"/>
          <w:b w:val="true"/>
          <w:bCs w:val="true"/>
          <w:i w:val="false"/>
          <w:iCs w:val="false"/>
        </w:rPr>
        <w:t xml:space="preserve">Log integrity. </w:t>
      </w:r>
      <w:r>
        <w:rPr>
          <w:rFonts w:ascii="Aptos" w:cs="Aptos" w:eastAsia="Aptos" w:hAnsi="Aptos"/>
          <w:sz w:val="24"/>
          <w:szCs w:val="24"/>
          <w:b w:val="false"/>
          <w:bCs w:val="false"/>
          <w:i w:val="false"/>
          <w:iCs w:val="false"/>
        </w:rPr>
        <w:t xml:space="preserve">Logs are evidence. Nobody edits or deletes them, retention follows the schedule rather than available disk, and a gap in the record is itself a finding.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triages a set of sample alerts and states an escalation decision with a reason for each. Passing requires every alert above the threshold escalated. Under-escalation fails; over-escalation does not.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monitoring tooling or escalation thresholds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Analyst-level certifications covering detection and response fit this track where the Agency runs its own monitoring. Where monitoring is contracted, the equivalent is training on reading and challenging the provider's reporting. The Security Coordinator holds an analyst-level detection and response certification, funded by the Agency and renewed on its continuing-education cycle.</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Logging Policy · Continuous Monitoring Plan · Alert Triage &amp; Escalation Procedure · Security Event Review Procedures · Log Retention Schedule.</w:t>
      </w:r>
    </w:p>
    <w:p>
      <w:pPr>
        <w:pStyle w:val="Heading3"/>
      </w:pPr>
      <w:r>
        <w:t xml:space="preserve">Track D. Incident Response and Evidence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assigned role in the Incident Response Plan (IRP), or may handle evidence. This reaches further than the technical staff. Whoever answers the phone when a vendor reports a compromise is executing a step in the plan.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carry out their assigned role in the Incident Response Plan (IRP) without reading it first</w:t>
      </w:r>
    </w:p>
    <w:p>
      <w:pPr>
        <w:pStyle w:val="ListParagraph"/>
        <w:numPr>
          <w:ilvl w:val="0"/>
          <w:numId w:val="2"/>
        </w:numPr>
        <w:spacing w:after="60"/>
      </w:pPr>
      <w:r>
        <w:rPr>
          <w:rFonts w:ascii="Aptos" w:cs="Aptos" w:eastAsia="Aptos" w:hAnsi="Aptos"/>
          <w:sz w:val="24"/>
          <w:szCs w:val="24"/>
          <w:b w:val="false"/>
          <w:bCs w:val="false"/>
          <w:i w:val="false"/>
          <w:iCs w:val="false"/>
        </w:rPr>
        <w:t xml:space="preserve">preserve evidence before taking an action that destroys it</w:t>
      </w:r>
    </w:p>
    <w:p>
      <w:pPr>
        <w:pStyle w:val="ListParagraph"/>
        <w:numPr>
          <w:ilvl w:val="0"/>
          <w:numId w:val="2"/>
        </w:numPr>
        <w:spacing w:after="60"/>
      </w:pPr>
      <w:r>
        <w:rPr>
          <w:rFonts w:ascii="Aptos" w:cs="Aptos" w:eastAsia="Aptos" w:hAnsi="Aptos"/>
          <w:sz w:val="24"/>
          <w:szCs w:val="24"/>
          <w:b w:val="false"/>
          <w:bCs w:val="false"/>
          <w:i w:val="false"/>
          <w:iCs w:val="false"/>
        </w:rPr>
        <w:t xml:space="preserve">identify which notification clocks a given incident starts</w:t>
      </w:r>
    </w:p>
    <w:p>
      <w:pPr>
        <w:pStyle w:val="ListParagraph"/>
        <w:numPr>
          <w:ilvl w:val="0"/>
          <w:numId w:val="2"/>
        </w:numPr>
        <w:spacing w:after="60"/>
      </w:pPr>
      <w:r>
        <w:rPr>
          <w:rFonts w:ascii="Aptos" w:cs="Aptos" w:eastAsia="Aptos" w:hAnsi="Aptos"/>
          <w:sz w:val="24"/>
          <w:szCs w:val="24"/>
          <w:b w:val="false"/>
          <w:bCs w:val="false"/>
          <w:i w:val="false"/>
          <w:iCs w:val="false"/>
        </w:rPr>
        <w:t xml:space="preserve">keep call-handling running while an incident is worked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3"/>
        </w:numPr>
        <w:spacing w:after="60"/>
      </w:pPr>
      <w:r>
        <w:rPr>
          <w:rFonts w:ascii="Aptos" w:cs="Aptos" w:eastAsia="Aptos" w:hAnsi="Aptos"/>
          <w:sz w:val="24"/>
          <w:szCs w:val="24"/>
          <w:b w:val="true"/>
          <w:bCs w:val="true"/>
          <w:i w:val="false"/>
          <w:iCs w:val="false"/>
        </w:rPr>
        <w:t xml:space="preserve">Your role, before you need it. </w:t>
      </w:r>
      <w:r>
        <w:rPr>
          <w:rFonts w:ascii="Aptos" w:cs="Aptos" w:eastAsia="Aptos" w:hAnsi="Aptos"/>
          <w:sz w:val="24"/>
          <w:szCs w:val="24"/>
          <w:b w:val="false"/>
          <w:bCs w:val="false"/>
          <w:i w:val="false"/>
          <w:iCs w:val="false"/>
        </w:rPr>
        <w:t xml:space="preserve">Who declares an incident, who leads, and who calls whom. The plan is learned in training, not opened for the first time during the event.</w:t>
      </w:r>
    </w:p>
    <w:p>
      <w:pPr>
        <w:pStyle w:val="ListParagraph"/>
        <w:numPr>
          <w:ilvl w:val="0"/>
          <w:numId w:val="203"/>
        </w:numPr>
        <w:spacing w:after="60"/>
      </w:pPr>
      <w:r>
        <w:rPr>
          <w:rFonts w:ascii="Aptos" w:cs="Aptos" w:eastAsia="Aptos" w:hAnsi="Aptos"/>
          <w:sz w:val="24"/>
          <w:szCs w:val="24"/>
          <w:b w:val="true"/>
          <w:bCs w:val="true"/>
          <w:i w:val="false"/>
          <w:iCs w:val="false"/>
        </w:rPr>
        <w:t xml:space="preserve">Classification and the clock. </w:t>
      </w:r>
      <w:r>
        <w:rPr>
          <w:rFonts w:ascii="Aptos" w:cs="Aptos" w:eastAsia="Aptos" w:hAnsi="Aptos"/>
          <w:sz w:val="24"/>
          <w:szCs w:val="24"/>
          <w:b w:val="false"/>
          <w:bCs w:val="false"/>
          <w:i w:val="false"/>
          <w:iCs w:val="false"/>
        </w:rPr>
        <w:t xml:space="preserve">Severity drives the response, and certain classifications start notification timelines that run in business days regardless of when the incident is discovered. A Friday night discovery does not buy the weekend.</w:t>
      </w:r>
    </w:p>
    <w:p>
      <w:pPr>
        <w:pStyle w:val="ListParagraph"/>
        <w:numPr>
          <w:ilvl w:val="0"/>
          <w:numId w:val="203"/>
        </w:numPr>
        <w:spacing w:after="60"/>
      </w:pPr>
      <w:r>
        <w:rPr>
          <w:rFonts w:ascii="Aptos" w:cs="Aptos" w:eastAsia="Aptos" w:hAnsi="Aptos"/>
          <w:sz w:val="24"/>
          <w:szCs w:val="24"/>
          <w:b w:val="true"/>
          <w:bCs w:val="true"/>
          <w:i w:val="false"/>
          <w:iCs w:val="false"/>
        </w:rPr>
        <w:t xml:space="preserve">Preserve first. </w:t>
      </w:r>
      <w:r>
        <w:rPr>
          <w:rFonts w:ascii="Aptos" w:cs="Aptos" w:eastAsia="Aptos" w:hAnsi="Aptos"/>
          <w:sz w:val="24"/>
          <w:szCs w:val="24"/>
          <w:b w:val="false"/>
          <w:bCs w:val="false"/>
          <w:i w:val="false"/>
          <w:iCs w:val="false"/>
        </w:rPr>
        <w:t xml:space="preserve">Rebooting, reimaging, and “just cleaning it up” destroy the evidence that explains what happened. What to capture and in what order, and when to isolate a system rather than power it off.</w:t>
      </w:r>
    </w:p>
    <w:p>
      <w:pPr>
        <w:pStyle w:val="ListParagraph"/>
        <w:numPr>
          <w:ilvl w:val="0"/>
          <w:numId w:val="203"/>
        </w:numPr>
        <w:spacing w:after="60"/>
      </w:pPr>
      <w:r>
        <w:rPr>
          <w:rFonts w:ascii="Aptos" w:cs="Aptos" w:eastAsia="Aptos" w:hAnsi="Aptos"/>
          <w:sz w:val="24"/>
          <w:szCs w:val="24"/>
          <w:b w:val="true"/>
          <w:bCs w:val="true"/>
          <w:i w:val="false"/>
          <w:iCs w:val="false"/>
        </w:rPr>
        <w:t xml:space="preserve">Chain of custody. </w:t>
      </w:r>
      <w:r>
        <w:rPr>
          <w:rFonts w:ascii="Aptos" w:cs="Aptos" w:eastAsia="Aptos" w:hAnsi="Aptos"/>
          <w:sz w:val="24"/>
          <w:szCs w:val="24"/>
          <w:b w:val="false"/>
          <w:bCs w:val="false"/>
          <w:i w:val="false"/>
          <w:iCs w:val="false"/>
        </w:rPr>
        <w:t xml:space="preserve">Who handled what, when, and where it was stored between handoffs. A gap in the chain is a gap in the case, and it cannot be repaired after the fact.</w:t>
      </w:r>
    </w:p>
    <w:p>
      <w:pPr>
        <w:pStyle w:val="ListParagraph"/>
        <w:numPr>
          <w:ilvl w:val="0"/>
          <w:numId w:val="203"/>
        </w:numPr>
        <w:spacing w:after="60"/>
      </w:pPr>
      <w:r>
        <w:rPr>
          <w:rFonts w:ascii="Aptos" w:cs="Aptos" w:eastAsia="Aptos" w:hAnsi="Aptos"/>
          <w:sz w:val="24"/>
          <w:szCs w:val="24"/>
          <w:b w:val="true"/>
          <w:bCs w:val="true"/>
          <w:i w:val="false"/>
          <w:iCs w:val="false"/>
        </w:rPr>
        <w:t xml:space="preserve">Notification. </w:t>
      </w:r>
      <w:r>
        <w:rPr>
          <w:rFonts w:ascii="Aptos" w:cs="Aptos" w:eastAsia="Aptos" w:hAnsi="Aptos"/>
          <w:sz w:val="24"/>
          <w:szCs w:val="24"/>
          <w:b w:val="false"/>
          <w:bCs w:val="false"/>
          <w:i w:val="false"/>
          <w:iCs w:val="false"/>
        </w:rPr>
        <w:t xml:space="preserve">Internal escalation first, then the external obligations: the two-business-day cyber incident report to the state for political subdivisions, breach notification triggers when residents are affected, and who approves anything that leaves the building.</w:t>
      </w:r>
    </w:p>
    <w:p>
      <w:pPr>
        <w:pStyle w:val="ListParagraph"/>
        <w:numPr>
          <w:ilvl w:val="0"/>
          <w:numId w:val="203"/>
        </w:numPr>
        <w:spacing w:after="60"/>
      </w:pPr>
      <w:r>
        <w:rPr>
          <w:rFonts w:ascii="Aptos" w:cs="Aptos" w:eastAsia="Aptos" w:hAnsi="Aptos"/>
          <w:sz w:val="24"/>
          <w:szCs w:val="24"/>
          <w:b w:val="true"/>
          <w:bCs w:val="true"/>
          <w:i w:val="false"/>
          <w:iCs w:val="false"/>
        </w:rPr>
        <w:t xml:space="preserve">Keeping the center up. </w:t>
      </w:r>
      <w:r>
        <w:rPr>
          <w:rFonts w:ascii="Aptos" w:cs="Aptos" w:eastAsia="Aptos" w:hAnsi="Aptos"/>
          <w:sz w:val="24"/>
          <w:szCs w:val="24"/>
          <w:b w:val="false"/>
          <w:bCs w:val="false"/>
          <w:i w:val="false"/>
          <w:iCs w:val="false"/>
        </w:rPr>
        <w:t xml:space="preserve">Incident response never takes the last working call-handling path offline. The continuity procedure runs alongside the response, not after it.</w:t>
      </w:r>
    </w:p>
    <w:p>
      <w:pPr>
        <w:pStyle w:val="ListParagraph"/>
        <w:numPr>
          <w:ilvl w:val="0"/>
          <w:numId w:val="203"/>
        </w:numPr>
        <w:spacing w:after="60"/>
      </w:pPr>
      <w:r>
        <w:rPr>
          <w:rFonts w:ascii="Aptos" w:cs="Aptos" w:eastAsia="Aptos" w:hAnsi="Aptos"/>
          <w:sz w:val="24"/>
          <w:szCs w:val="24"/>
          <w:b w:val="true"/>
          <w:bCs w:val="true"/>
          <w:i w:val="false"/>
          <w:iCs w:val="false"/>
        </w:rPr>
        <w:t xml:space="preserve">Afterward. </w:t>
      </w:r>
      <w:r>
        <w:rPr>
          <w:rFonts w:ascii="Aptos" w:cs="Aptos" w:eastAsia="Aptos" w:hAnsi="Aptos"/>
          <w:sz w:val="24"/>
          <w:szCs w:val="24"/>
          <w:b w:val="false"/>
          <w:bCs w:val="false"/>
          <w:i w:val="false"/>
          <w:iCs w:val="false"/>
        </w:rPr>
        <w:t xml:space="preserve">The after-action review is where the fix comes from. Findings move into the Risk / Finding Register with an owner and a date, or they do not get done.</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Participation in a tabletop exercise with a documented decision log, or a written scenario walkthrough naming the first five actions in order. Passing requires evidence preserved before remediation and the correct notification clock identified.</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after any incident or exercise that surfaces a gap.</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Incident handling and digital forensics credentials fit this track. Where the Agency retains an incident response provider, joint exercise participation is the practical equivalent and is recorded the same way. No forensics credential is sponsored. The Agency’s retained incident response provider runs the semi-annual exercise, and participation is recorded as this track’s refresher.</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Incident Response Plan (IRP) · Incident Classification &amp; Severity Matrix · Incident Notification &amp; Escalation Contact List · Evidence Collection &amp; Chain-of-Custody Procedures · Evidence Preservation Checklist · System Isolation Procedure · Backup Call-Handling / Dispatch Continuity Procedure.</w:t>
      </w:r>
    </w:p>
    <w:p>
      <w:pPr>
        <w:pStyle w:val="Heading3"/>
      </w:pPr>
      <w:r>
        <w:t xml:space="preserve">Track E. Sensitive Data and Media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creates, views, transmits, transports, or destroys Restricted or Confidential information, or the media that holds it. At a PSAP this reaches nearly every dispatcher and records clerk, plus anyone who carries a drive, a backup tape, or a laptop out of the building.</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classify a record correctly and apply the handling that follows from the classification</w:t>
      </w:r>
    </w:p>
    <w:p>
      <w:pPr>
        <w:pStyle w:val="ListParagraph"/>
        <w:numPr>
          <w:ilvl w:val="0"/>
          <w:numId w:val="2"/>
        </w:numPr>
        <w:spacing w:after="60"/>
      </w:pPr>
      <w:r>
        <w:rPr>
          <w:rFonts w:ascii="Aptos" w:cs="Aptos" w:eastAsia="Aptos" w:hAnsi="Aptos"/>
          <w:sz w:val="24"/>
          <w:szCs w:val="24"/>
          <w:b w:val="false"/>
          <w:bCs w:val="false"/>
          <w:i w:val="false"/>
          <w:iCs w:val="false"/>
        </w:rPr>
        <w:t xml:space="preserve">move media in and out of the building without losing control of it</w:t>
      </w:r>
    </w:p>
    <w:p>
      <w:pPr>
        <w:pStyle w:val="ListParagraph"/>
        <w:numPr>
          <w:ilvl w:val="0"/>
          <w:numId w:val="2"/>
        </w:numPr>
        <w:spacing w:after="60"/>
      </w:pPr>
      <w:r>
        <w:rPr>
          <w:rFonts w:ascii="Aptos" w:cs="Aptos" w:eastAsia="Aptos" w:hAnsi="Aptos"/>
          <w:sz w:val="24"/>
          <w:szCs w:val="24"/>
          <w:b w:val="false"/>
          <w:bCs w:val="false"/>
          <w:i w:val="false"/>
          <w:iCs w:val="false"/>
        </w:rPr>
        <w:t xml:space="preserve">destroy media so the data cannot be recovered,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disclosure request that must be approved before anything is released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4"/>
        </w:numPr>
        <w:spacing w:after="60"/>
      </w:pPr>
      <w:r>
        <w:rPr>
          <w:rFonts w:ascii="Aptos" w:cs="Aptos" w:eastAsia="Aptos" w:hAnsi="Aptos"/>
          <w:sz w:val="24"/>
          <w:szCs w:val="24"/>
          <w:b w:val="true"/>
          <w:bCs w:val="true"/>
          <w:i w:val="false"/>
          <w:iCs w:val="false"/>
        </w:rPr>
        <w:t xml:space="preserve">Classification in practice. </w:t>
      </w:r>
      <w:r>
        <w:rPr>
          <w:rFonts w:ascii="Aptos" w:cs="Aptos" w:eastAsia="Aptos" w:hAnsi="Aptos"/>
          <w:sz w:val="24"/>
          <w:szCs w:val="24"/>
          <w:b w:val="false"/>
          <w:bCs w:val="false"/>
          <w:i w:val="false"/>
          <w:iCs w:val="false"/>
        </w:rPr>
        <w:t xml:space="preserve">The four things that make a PSAP record sensitive: caller and subject PII, criminal justice information, health information, and operational detail that would help someone attack the center. When two levels could apply, the higher one governs. Labeling is how the next person knows.</w:t>
      </w:r>
    </w:p>
    <w:p>
      <w:pPr>
        <w:pStyle w:val="ListParagraph"/>
        <w:numPr>
          <w:ilvl w:val="0"/>
          <w:numId w:val="204"/>
        </w:numPr>
        <w:spacing w:after="60"/>
      </w:pPr>
      <w:r>
        <w:rPr>
          <w:rFonts w:ascii="Aptos" w:cs="Aptos" w:eastAsia="Aptos" w:hAnsi="Aptos"/>
          <w:sz w:val="24"/>
          <w:szCs w:val="24"/>
          <w:b w:val="true"/>
          <w:bCs w:val="true"/>
          <w:i w:val="false"/>
          <w:iCs w:val="false"/>
        </w:rPr>
        <w:t xml:space="preserve">Handling by level. </w:t>
      </w:r>
      <w:r>
        <w:rPr>
          <w:rFonts w:ascii="Aptos" w:cs="Aptos" w:eastAsia="Aptos" w:hAnsi="Aptos"/>
          <w:sz w:val="24"/>
          <w:szCs w:val="24"/>
          <w:b w:val="false"/>
          <w:bCs w:val="false"/>
          <w:i w:val="false"/>
          <w:iCs w:val="false"/>
        </w:rPr>
        <w:t xml:space="preserve">What each classification permits for storage, transmission, printing, and screen display. The rules follow the data, not the device it happens to sit on.</w:t>
      </w:r>
    </w:p>
    <w:p>
      <w:pPr>
        <w:pStyle w:val="ListParagraph"/>
        <w:numPr>
          <w:ilvl w:val="0"/>
          <w:numId w:val="204"/>
        </w:numPr>
        <w:spacing w:after="60"/>
      </w:pPr>
      <w:r>
        <w:rPr>
          <w:rFonts w:ascii="Aptos" w:cs="Aptos" w:eastAsia="Aptos" w:hAnsi="Aptos"/>
          <w:sz w:val="24"/>
          <w:szCs w:val="24"/>
          <w:b w:val="true"/>
          <w:bCs w:val="true"/>
          <w:i w:val="false"/>
          <w:iCs w:val="false"/>
        </w:rPr>
        <w:t xml:space="preserve">Moving media. </w:t>
      </w:r>
      <w:r>
        <w:rPr>
          <w:rFonts w:ascii="Aptos" w:cs="Aptos" w:eastAsia="Aptos" w:hAnsi="Aptos"/>
          <w:sz w:val="24"/>
          <w:szCs w:val="24"/>
          <w:b w:val="false"/>
          <w:bCs w:val="false"/>
          <w:i w:val="false"/>
          <w:iCs w:val="false"/>
        </w:rPr>
        <w:t xml:space="preserve">Sensitive media travels in sealed packaging with recorded delivery. The most sensitive material is hand-carried by its custodian, and any exception is approved by a senior manager before the media moves, not explained afterward.</w:t>
      </w:r>
    </w:p>
    <w:p>
      <w:pPr>
        <w:pStyle w:val="ListParagraph"/>
        <w:numPr>
          <w:ilvl w:val="0"/>
          <w:numId w:val="204"/>
        </w:numPr>
        <w:spacing w:after="60"/>
      </w:pPr>
      <w:r>
        <w:rPr>
          <w:rFonts w:ascii="Aptos" w:cs="Aptos" w:eastAsia="Aptos" w:hAnsi="Aptos"/>
          <w:sz w:val="24"/>
          <w:szCs w:val="24"/>
          <w:b w:val="true"/>
          <w:bCs w:val="true"/>
          <w:i w:val="false"/>
          <w:iCs w:val="false"/>
        </w:rPr>
        <w:t xml:space="preserve">Printed material. </w:t>
      </w:r>
      <w:r>
        <w:rPr>
          <w:rFonts w:ascii="Aptos" w:cs="Aptos" w:eastAsia="Aptos" w:hAnsi="Aptos"/>
          <w:sz w:val="24"/>
          <w:szCs w:val="24"/>
          <w:b w:val="false"/>
          <w:bCs w:val="false"/>
          <w:i w:val="false"/>
          <w:iCs w:val="false"/>
        </w:rPr>
        <w:t xml:space="preserve">Paper is the most commonly lost record type at a PSAP. Collect from the printer immediately, store it to the same level as its digital original, and destroy it the same way.</w:t>
      </w:r>
    </w:p>
    <w:p>
      <w:pPr>
        <w:pStyle w:val="ListParagraph"/>
        <w:numPr>
          <w:ilvl w:val="0"/>
          <w:numId w:val="204"/>
        </w:numPr>
        <w:spacing w:after="60"/>
      </w:pPr>
      <w:r>
        <w:rPr>
          <w:rFonts w:ascii="Aptos" w:cs="Aptos" w:eastAsia="Aptos" w:hAnsi="Aptos"/>
          <w:sz w:val="24"/>
          <w:szCs w:val="24"/>
          <w:b w:val="true"/>
          <w:bCs w:val="true"/>
          <w:i w:val="false"/>
          <w:iCs w:val="false"/>
        </w:rPr>
        <w:t xml:space="preserve">Disposal and sanitization. </w:t>
      </w:r>
      <w:r>
        <w:rPr>
          <w:rFonts w:ascii="Aptos" w:cs="Aptos" w:eastAsia="Aptos" w:hAnsi="Aptos"/>
          <w:sz w:val="24"/>
          <w:szCs w:val="24"/>
          <w:b w:val="false"/>
          <w:bCs w:val="false"/>
          <w:i w:val="false"/>
          <w:iCs w:val="false"/>
        </w:rPr>
        <w:t xml:space="preserve">Deleting is not destroying. The sanitization method depends on the media type and what it held; paper is destroyed so no part can be reconstructed; every disposal is recorded so the Agency can prove the data is gone.</w:t>
      </w:r>
    </w:p>
    <w:p>
      <w:pPr>
        <w:pStyle w:val="ListParagraph"/>
        <w:numPr>
          <w:ilvl w:val="0"/>
          <w:numId w:val="204"/>
        </w:numPr>
        <w:spacing w:after="60"/>
      </w:pPr>
      <w:r>
        <w:rPr>
          <w:rFonts w:ascii="Aptos" w:cs="Aptos" w:eastAsia="Aptos" w:hAnsi="Aptos"/>
          <w:sz w:val="24"/>
          <w:szCs w:val="24"/>
          <w:b w:val="true"/>
          <w:bCs w:val="true"/>
          <w:i w:val="false"/>
          <w:iCs w:val="false"/>
        </w:rPr>
        <w:t xml:space="preserve">Before you release anything. </w:t>
      </w:r>
      <w:r>
        <w:rPr>
          <w:rFonts w:ascii="Aptos" w:cs="Aptos" w:eastAsia="Aptos" w:hAnsi="Aptos"/>
          <w:sz w:val="24"/>
          <w:szCs w:val="24"/>
          <w:b w:val="false"/>
          <w:bCs w:val="false"/>
          <w:i w:val="false"/>
          <w:iCs w:val="false"/>
        </w:rPr>
        <w:t xml:space="preserve">The difference between an internal request, a public records request, and a law enforcement request, and who approves each. Nobody releases records on personal authority, however reasonable the request sounds.</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classifies a set of sample records, states the handling and disposal path for each, and identifies which of three sample disclosure requests needs approval. Passing requires no record under-classified and every disposal path correct.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person handles sensitive media unsupervised, then annually, and on any change to the classification scheme or the Document Handling Standard. The media-handling acknowledgment is signed at the same points.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Data Classification Policy · Document Handling Standard · Data Labeling Procedures · Secure Disposal Procedures · Data Disposal / Destruction Records · Data Sharing &amp; Disclosure Approval Procedure · CJIS Data Handling Addendum.</w:t>
      </w:r>
    </w:p>
    <w:p>
      <w:pPr>
        <w:pStyle w:val="Heading3"/>
      </w:pPr>
      <w:r>
        <w:t xml:space="preserve">Track F. Physical and Visual Safeguards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works in, or escorts anyone through, a controlled area. This is close to everyone on site, including part-time staff, cleaning crews under escort, and technicians who visit twice a year.</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keep an unauthorized person out of a controlled area without making it personal</w:t>
      </w:r>
    </w:p>
    <w:p>
      <w:pPr>
        <w:pStyle w:val="ListParagraph"/>
        <w:numPr>
          <w:ilvl w:val="0"/>
          <w:numId w:val="2"/>
        </w:numPr>
        <w:spacing w:after="60"/>
      </w:pPr>
      <w:r>
        <w:rPr>
          <w:rFonts w:ascii="Aptos" w:cs="Aptos" w:eastAsia="Aptos" w:hAnsi="Aptos"/>
          <w:sz w:val="24"/>
          <w:szCs w:val="24"/>
          <w:b w:val="false"/>
          <w:bCs w:val="false"/>
          <w:i w:val="false"/>
          <w:iCs w:val="false"/>
        </w:rPr>
        <w:t xml:space="preserve">escort a visitor from arrival to departure</w:t>
      </w:r>
    </w:p>
    <w:p>
      <w:pPr>
        <w:pStyle w:val="ListParagraph"/>
        <w:numPr>
          <w:ilvl w:val="0"/>
          <w:numId w:val="2"/>
        </w:numPr>
        <w:spacing w:after="60"/>
      </w:pPr>
      <w:r>
        <w:rPr>
          <w:rFonts w:ascii="Aptos" w:cs="Aptos" w:eastAsia="Aptos" w:hAnsi="Aptos"/>
          <w:sz w:val="24"/>
          <w:szCs w:val="24"/>
          <w:b w:val="false"/>
          <w:bCs w:val="false"/>
          <w:i w:val="false"/>
          <w:iCs w:val="false"/>
        </w:rPr>
        <w:t xml:space="preserve">stop a screen from disclosing what the door already protects</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physical security failure the same way they would report a suspicious email</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5"/>
        </w:numPr>
        <w:spacing w:after="60"/>
      </w:pPr>
      <w:r>
        <w:rPr>
          <w:rFonts w:ascii="Aptos" w:cs="Aptos" w:eastAsia="Aptos" w:hAnsi="Aptos"/>
          <w:sz w:val="24"/>
          <w:szCs w:val="24"/>
          <w:b w:val="true"/>
          <w:bCs w:val="true"/>
          <w:i w:val="false"/>
          <w:iCs w:val="false"/>
        </w:rPr>
        <w:t xml:space="preserve">The door. </w:t>
      </w:r>
      <w:r>
        <w:rPr>
          <w:rFonts w:ascii="Aptos" w:cs="Aptos" w:eastAsia="Aptos" w:hAnsi="Aptos"/>
          <w:sz w:val="24"/>
          <w:szCs w:val="24"/>
          <w:b w:val="false"/>
          <w:bCs w:val="false"/>
          <w:i w:val="false"/>
          <w:iCs w:val="false"/>
        </w:rPr>
        <w:t xml:space="preserve">Doors close behind you. Tailgating is the most common physical breach and the easiest to stop. How to challenge someone politely, and who to call when they will not comply.</w:t>
      </w:r>
    </w:p>
    <w:p>
      <w:pPr>
        <w:pStyle w:val="ListParagraph"/>
        <w:numPr>
          <w:ilvl w:val="0"/>
          <w:numId w:val="205"/>
        </w:numPr>
        <w:spacing w:after="60"/>
      </w:pPr>
      <w:r>
        <w:rPr>
          <w:rFonts w:ascii="Aptos" w:cs="Aptos" w:eastAsia="Aptos" w:hAnsi="Aptos"/>
          <w:sz w:val="24"/>
          <w:szCs w:val="24"/>
          <w:b w:val="true"/>
          <w:bCs w:val="true"/>
          <w:i w:val="false"/>
          <w:iCs w:val="false"/>
        </w:rPr>
        <w:t xml:space="preserve">Badges. </w:t>
      </w:r>
      <w:r>
        <w:rPr>
          <w:rFonts w:ascii="Aptos" w:cs="Aptos" w:eastAsia="Aptos" w:hAnsi="Aptos"/>
          <w:sz w:val="24"/>
          <w:szCs w:val="24"/>
          <w:b w:val="false"/>
          <w:bCs w:val="false"/>
          <w:i w:val="false"/>
          <w:iCs w:val="false"/>
        </w:rPr>
        <w:t xml:space="preserve">Badges are worn where they can be seen, are never loaned, and carry a photograph. A lost badge is reported immediately because it is a live credential, and a temporary badge follows the same rules as the one it replaces.</w:t>
      </w:r>
    </w:p>
    <w:p>
      <w:pPr>
        <w:pStyle w:val="ListParagraph"/>
        <w:numPr>
          <w:ilvl w:val="0"/>
          <w:numId w:val="205"/>
        </w:numPr>
        <w:spacing w:after="60"/>
      </w:pPr>
      <w:r>
        <w:rPr>
          <w:rFonts w:ascii="Aptos" w:cs="Aptos" w:eastAsia="Aptos" w:hAnsi="Aptos"/>
          <w:sz w:val="24"/>
          <w:szCs w:val="24"/>
          <w:b w:val="true"/>
          <w:bCs w:val="true"/>
          <w:i w:val="false"/>
          <w:iCs w:val="false"/>
        </w:rPr>
        <w:t xml:space="preserve">Visitors. </w:t>
      </w:r>
      <w:r>
        <w:rPr>
          <w:rFonts w:ascii="Aptos" w:cs="Aptos" w:eastAsia="Aptos" w:hAnsi="Aptos"/>
          <w:sz w:val="24"/>
          <w:szCs w:val="24"/>
          <w:b w:val="false"/>
          <w:bCs w:val="false"/>
          <w:i w:val="false"/>
          <w:iCs w:val="false"/>
        </w:rPr>
        <w:t xml:space="preserve">Authenticate before admitting, escort at all times, sign in and out, and stay with the visitor through departure. An escorted visitor is the escort's responsibility, not the front desk's.</w:t>
      </w:r>
    </w:p>
    <w:p>
      <w:pPr>
        <w:pStyle w:val="ListParagraph"/>
        <w:numPr>
          <w:ilvl w:val="0"/>
          <w:numId w:val="205"/>
        </w:numPr>
        <w:spacing w:after="60"/>
      </w:pPr>
      <w:r>
        <w:rPr>
          <w:rFonts w:ascii="Aptos" w:cs="Aptos" w:eastAsia="Aptos" w:hAnsi="Aptos"/>
          <w:sz w:val="24"/>
          <w:szCs w:val="24"/>
          <w:b w:val="true"/>
          <w:bCs w:val="true"/>
          <w:i w:val="false"/>
          <w:iCs w:val="false"/>
        </w:rPr>
        <w:t xml:space="preserve">Deliveries and removals. </w:t>
      </w:r>
      <w:r>
        <w:rPr>
          <w:rFonts w:ascii="Aptos" w:cs="Aptos" w:eastAsia="Aptos" w:hAnsi="Aptos"/>
          <w:sz w:val="24"/>
          <w:szCs w:val="24"/>
          <w:b w:val="false"/>
          <w:bCs w:val="false"/>
          <w:i w:val="false"/>
          <w:iCs w:val="false"/>
        </w:rPr>
        <w:t xml:space="preserve">Equipment entering or leaving the controlled area is authorized and recorded. A technician carrying a device out of the building is a removal, whatever the reason.</w:t>
      </w:r>
    </w:p>
    <w:p>
      <w:pPr>
        <w:pStyle w:val="ListParagraph"/>
        <w:numPr>
          <w:ilvl w:val="0"/>
          <w:numId w:val="205"/>
        </w:numPr>
        <w:spacing w:after="60"/>
      </w:pPr>
      <w:r>
        <w:rPr>
          <w:rFonts w:ascii="Aptos" w:cs="Aptos" w:eastAsia="Aptos" w:hAnsi="Aptos"/>
          <w:sz w:val="24"/>
          <w:szCs w:val="24"/>
          <w:b w:val="true"/>
          <w:bCs w:val="true"/>
          <w:i w:val="false"/>
          <w:iCs w:val="false"/>
        </w:rPr>
        <w:t xml:space="preserve">Screens and sightlines. </w:t>
      </w:r>
      <w:r>
        <w:rPr>
          <w:rFonts w:ascii="Aptos" w:cs="Aptos" w:eastAsia="Aptos" w:hAnsi="Aptos"/>
          <w:sz w:val="24"/>
          <w:szCs w:val="24"/>
          <w:b w:val="false"/>
          <w:bCs w:val="false"/>
          <w:i w:val="false"/>
          <w:iCs w:val="false"/>
        </w:rPr>
        <w:t xml:space="preserve">Position monitors so a walkthrough cannot read them, and use a privacy filter where position cannot be fixed. Sessions lock after no more than fifteen minutes of inactivity, reauthentication is required to get back in, and the lock is not disabled for convenience.</w:t>
      </w:r>
    </w:p>
    <w:p>
      <w:pPr>
        <w:pStyle w:val="ListParagraph"/>
        <w:numPr>
          <w:ilvl w:val="0"/>
          <w:numId w:val="205"/>
        </w:numPr>
        <w:spacing w:after="60"/>
      </w:pPr>
      <w:r>
        <w:rPr>
          <w:rFonts w:ascii="Aptos" w:cs="Aptos" w:eastAsia="Aptos" w:hAnsi="Aptos"/>
          <w:sz w:val="24"/>
          <w:szCs w:val="24"/>
          <w:b w:val="true"/>
          <w:bCs w:val="true"/>
          <w:i w:val="false"/>
          <w:iCs w:val="false"/>
        </w:rPr>
        <w:t xml:space="preserve">Paper and desks. </w:t>
      </w:r>
      <w:r>
        <w:rPr>
          <w:rFonts w:ascii="Aptos" w:cs="Aptos" w:eastAsia="Aptos" w:hAnsi="Aptos"/>
          <w:sz w:val="24"/>
          <w:szCs w:val="24"/>
          <w:b w:val="false"/>
          <w:bCs w:val="false"/>
          <w:i w:val="false"/>
          <w:iCs w:val="false"/>
        </w:rPr>
        <w:t xml:space="preserve">What may sit on a desk unattended and what may not, and what gets cleared at end of shift.</w:t>
      </w:r>
    </w:p>
    <w:p>
      <w:pPr>
        <w:pStyle w:val="ListParagraph"/>
        <w:numPr>
          <w:ilvl w:val="0"/>
          <w:numId w:val="205"/>
        </w:numPr>
        <w:spacing w:after="60"/>
      </w:pPr>
      <w:r>
        <w:rPr>
          <w:rFonts w:ascii="Aptos" w:cs="Aptos" w:eastAsia="Aptos" w:hAnsi="Aptos"/>
          <w:sz w:val="24"/>
          <w:szCs w:val="24"/>
          <w:b w:val="true"/>
          <w:bCs w:val="true"/>
          <w:i w:val="false"/>
          <w:iCs w:val="false"/>
        </w:rPr>
        <w:t xml:space="preserve">Reporting. </w:t>
      </w:r>
      <w:r>
        <w:rPr>
          <w:rFonts w:ascii="Aptos" w:cs="Aptos" w:eastAsia="Aptos" w:hAnsi="Aptos"/>
          <w:sz w:val="24"/>
          <w:szCs w:val="24"/>
          <w:b w:val="false"/>
          <w:bCs w:val="false"/>
          <w:i w:val="false"/>
          <w:iCs w:val="false"/>
        </w:rPr>
        <w:t xml:space="preserve">Propped doors, failed badge readers, unescorted strangers, and cameras that are not recording are all reportable, and they go to the same place as any other security concern.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An observed walkthrough, or a short scenario set paired with a signed acknowledgment. Where the Agency runs spot checks or a tailgate drill, participation counts as the check. Passing requires the learner to challenge the unauthorized entry scenario and to identify the screen exposure scenario.</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At onboarding before unescorted access, then annually, with a shorter reminder on the Agency's reminder cadence. A short reminder goes out at the start of each quarter, and a badge and tailgate spot check runs twice a year.</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Physical Access Control Policy · Physical Security Hardening Standard · Controlled Area / Zone Map · Visitor Log · Visitor Access Agreement Form · Acceptable Use Policy (AUP).</w:t>
      </w:r>
    </w:p>
    <w:p>
      <w:pPr>
        <w:pStyle w:val="Heading3"/>
      </w:pPr>
      <w:r>
        <w:t xml:space="preserve">Track G. Program Governance and Oversight</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approves policy, accepts risk on the Agency's behalf, or reports program status to a board, county authority, or state authority. At a small agency this is the director, holding this track alongside several others.</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read a risk register entry and decide whether to accept, mitigate, or transfer it</w:t>
      </w:r>
    </w:p>
    <w:p>
      <w:pPr>
        <w:pStyle w:val="ListParagraph"/>
        <w:numPr>
          <w:ilvl w:val="0"/>
          <w:numId w:val="2"/>
        </w:numPr>
        <w:spacing w:after="60"/>
      </w:pPr>
      <w:r>
        <w:rPr>
          <w:rFonts w:ascii="Aptos" w:cs="Aptos" w:eastAsia="Aptos" w:hAnsi="Aptos"/>
          <w:sz w:val="24"/>
          <w:szCs w:val="24"/>
          <w:b w:val="false"/>
          <w:bCs w:val="false"/>
          <w:i w:val="false"/>
          <w:iCs w:val="false"/>
        </w:rPr>
        <w:t xml:space="preserve">state what the Agency remains accountable for when a security function is contracted out</w:t>
      </w:r>
    </w:p>
    <w:p>
      <w:pPr>
        <w:pStyle w:val="ListParagraph"/>
        <w:numPr>
          <w:ilvl w:val="0"/>
          <w:numId w:val="2"/>
        </w:numPr>
        <w:spacing w:after="60"/>
      </w:pPr>
      <w:r>
        <w:rPr>
          <w:rFonts w:ascii="Aptos" w:cs="Aptos" w:eastAsia="Aptos" w:hAnsi="Aptos"/>
          <w:sz w:val="24"/>
          <w:szCs w:val="24"/>
          <w:b w:val="false"/>
          <w:bCs w:val="false"/>
          <w:i w:val="false"/>
          <w:iCs w:val="false"/>
        </w:rPr>
        <w:t xml:space="preserve">meet the Agency's designation and reporting deadlines</w:t>
      </w:r>
    </w:p>
    <w:p>
      <w:pPr>
        <w:pStyle w:val="ListParagraph"/>
        <w:numPr>
          <w:ilvl w:val="0"/>
          <w:numId w:val="2"/>
        </w:numPr>
        <w:spacing w:after="60"/>
      </w:pPr>
      <w:r>
        <w:rPr>
          <w:rFonts w:ascii="Aptos" w:cs="Aptos" w:eastAsia="Aptos" w:hAnsi="Aptos"/>
          <w:sz w:val="24"/>
          <w:szCs w:val="24"/>
          <w:b w:val="false"/>
          <w:bCs w:val="false"/>
          <w:i w:val="false"/>
          <w:iCs w:val="false"/>
        </w:rPr>
        <w:t xml:space="preserve">fund security work against a stated priority rather than the loudest request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6"/>
        </w:numPr>
        <w:spacing w:after="60"/>
      </w:pPr>
      <w:r>
        <w:rPr>
          <w:rFonts w:ascii="Aptos" w:cs="Aptos" w:eastAsia="Aptos" w:hAnsi="Aptos"/>
          <w:sz w:val="24"/>
          <w:szCs w:val="24"/>
          <w:b w:val="true"/>
          <w:bCs w:val="true"/>
          <w:i w:val="false"/>
          <w:iCs w:val="false"/>
        </w:rPr>
        <w:t xml:space="preserve">What accountability means here. </w:t>
      </w:r>
      <w:r>
        <w:rPr>
          <w:rFonts w:ascii="Aptos" w:cs="Aptos" w:eastAsia="Aptos" w:hAnsi="Aptos"/>
          <w:sz w:val="24"/>
          <w:szCs w:val="24"/>
          <w:b w:val="false"/>
          <w:bCs w:val="false"/>
          <w:i w:val="false"/>
          <w:iCs w:val="false"/>
        </w:rPr>
        <w:t xml:space="preserve">Contracting a function moves the work, not the accountability. The agreement is the control, and an agreement that does not name the duty does not transfer it.</w:t>
      </w:r>
    </w:p>
    <w:p>
      <w:pPr>
        <w:pStyle w:val="ListParagraph"/>
        <w:numPr>
          <w:ilvl w:val="0"/>
          <w:numId w:val="206"/>
        </w:numPr>
        <w:spacing w:after="60"/>
      </w:pPr>
      <w:r>
        <w:rPr>
          <w:rFonts w:ascii="Aptos" w:cs="Aptos" w:eastAsia="Aptos" w:hAnsi="Aptos"/>
          <w:sz w:val="24"/>
          <w:szCs w:val="24"/>
          <w:b w:val="true"/>
          <w:bCs w:val="true"/>
          <w:i w:val="false"/>
          <w:iCs w:val="false"/>
        </w:rPr>
        <w:t xml:space="preserve">Reading the register. </w:t>
      </w:r>
      <w:r>
        <w:rPr>
          <w:rFonts w:ascii="Aptos" w:cs="Aptos" w:eastAsia="Aptos" w:hAnsi="Aptos"/>
          <w:sz w:val="24"/>
          <w:szCs w:val="24"/>
          <w:b w:val="false"/>
          <w:bCs w:val="false"/>
          <w:i w:val="false"/>
          <w:iCs w:val="false"/>
        </w:rPr>
        <w:t xml:space="preserve">What severity and likelihood mean in practice, and what accepting a risk commits the Agency to. An acceptance is recorded, time-bound, and reviewed. An unrecorded acceptance is just an unfixed problem.</w:t>
      </w:r>
    </w:p>
    <w:p>
      <w:pPr>
        <w:pStyle w:val="ListParagraph"/>
        <w:numPr>
          <w:ilvl w:val="0"/>
          <w:numId w:val="206"/>
        </w:numPr>
        <w:spacing w:after="60"/>
      </w:pPr>
      <w:r>
        <w:rPr>
          <w:rFonts w:ascii="Aptos" w:cs="Aptos" w:eastAsia="Aptos" w:hAnsi="Aptos"/>
          <w:sz w:val="24"/>
          <w:szCs w:val="24"/>
          <w:b w:val="true"/>
          <w:bCs w:val="true"/>
          <w:i w:val="false"/>
          <w:iCs w:val="false"/>
        </w:rPr>
        <w:t xml:space="preserve">Statutory duties. </w:t>
      </w:r>
      <w:r>
        <w:rPr>
          <w:rFonts w:ascii="Aptos" w:cs="Aptos" w:eastAsia="Aptos" w:hAnsi="Aptos"/>
          <w:sz w:val="24"/>
          <w:szCs w:val="24"/>
          <w:b w:val="false"/>
          <w:bCs w:val="false"/>
          <w:i w:val="false"/>
          <w:iCs w:val="false"/>
        </w:rPr>
        <w:t xml:space="preserve">The primary cyber incident reporting contact and the annual deadline to designate and update it, the two-business-day incident reporting window, and the telecommunicator training the Agency must deliver.</w:t>
      </w:r>
    </w:p>
    <w:p>
      <w:pPr>
        <w:pStyle w:val="ListParagraph"/>
        <w:numPr>
          <w:ilvl w:val="0"/>
          <w:numId w:val="206"/>
        </w:numPr>
        <w:spacing w:after="60"/>
      </w:pPr>
      <w:r>
        <w:rPr>
          <w:rFonts w:ascii="Aptos" w:cs="Aptos" w:eastAsia="Aptos" w:hAnsi="Aptos"/>
          <w:sz w:val="24"/>
          <w:szCs w:val="24"/>
          <w:b w:val="true"/>
          <w:bCs w:val="true"/>
          <w:i w:val="false"/>
          <w:iCs w:val="false"/>
        </w:rPr>
        <w:t xml:space="preserve">Reporting up. </w:t>
      </w:r>
      <w:r>
        <w:rPr>
          <w:rFonts w:ascii="Aptos" w:cs="Aptos" w:eastAsia="Aptos" w:hAnsi="Aptos"/>
          <w:sz w:val="24"/>
          <w:szCs w:val="24"/>
          <w:b w:val="false"/>
          <w:bCs w:val="false"/>
          <w:i w:val="false"/>
          <w:iCs w:val="false"/>
        </w:rPr>
        <w:t xml:space="preserve">What a board needs to see: posture, exceptions, and overdue items. A report that never carries an exception usually means the reporting is wrong, not that the program is perfect.</w:t>
      </w:r>
    </w:p>
    <w:p>
      <w:pPr>
        <w:pStyle w:val="ListParagraph"/>
        <w:numPr>
          <w:ilvl w:val="0"/>
          <w:numId w:val="206"/>
        </w:numPr>
        <w:spacing w:after="60"/>
      </w:pPr>
      <w:r>
        <w:rPr>
          <w:rFonts w:ascii="Aptos" w:cs="Aptos" w:eastAsia="Aptos" w:hAnsi="Aptos"/>
          <w:sz w:val="24"/>
          <w:szCs w:val="24"/>
          <w:b w:val="true"/>
          <w:bCs w:val="true"/>
          <w:i w:val="false"/>
          <w:iCs w:val="false"/>
        </w:rPr>
        <w:t xml:space="preserve">Paying for it. </w:t>
      </w:r>
      <w:r>
        <w:rPr>
          <w:rFonts w:ascii="Aptos" w:cs="Aptos" w:eastAsia="Aptos" w:hAnsi="Aptos"/>
          <w:sz w:val="24"/>
          <w:szCs w:val="24"/>
          <w:b w:val="false"/>
          <w:bCs w:val="false"/>
          <w:i w:val="false"/>
          <w:iCs w:val="false"/>
        </w:rPr>
        <w:t xml:space="preserve">How security work is budgeted, what state 9-1-1 funds may be used for, and what happens to a risk accepted only because it is unfunded. That risk stays on the register with the funding gap named.</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reviews one live risk register entry and records an accept, mitigate, or transfer decision with a rationale and a review date. Passing requires a dated decision with a named owner.</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person holding the role changes.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Cybersecurity Charter / Leadership Designation Letter · Cybersecurity Governance Charter · Risk Register · Risk Treatment / Acceptance Decisions Log · Board / Leadership Security Reporting Template · Cybersecurity Budget &amp; Resource Allocation Record · IT Support Accountability Agreement (SLA / MOU).</w:t>
      </w:r>
    </w:p>
    <w:p>
      <w:pPr>
        <w:pStyle w:val="Heading2"/>
        <w:spacing w:after="100" w:before="220"/>
      </w:pPr>
      <w:r>
        <w:rPr>
          <w:rFonts w:ascii="Aptos" w:cs="Aptos" w:eastAsia="Aptos" w:hAnsi="Aptos"/>
          <w:sz w:val="26"/>
          <w:szCs w:val="26"/>
          <w:b w:val="true"/>
          <w:bCs w:val="true"/>
          <w:i w:val="false"/>
          <w:iCs w:val="false"/>
          <w:color w:val="1B3A5C"/>
        </w:rPr>
        <w:t xml:space="preserve">5. Professional Development and Continuing Education</w:t>
      </w:r>
    </w:p>
    <w:p>
      <w:pPr>
        <w:spacing w:after="120" w:before="0"/>
      </w:pPr>
      <w:r>
        <w:rPr>
          <w:rFonts w:ascii="Aptos" w:cs="Aptos" w:eastAsia="Aptos" w:hAnsi="Aptos"/>
          <w:sz w:val="24"/>
          <w:szCs w:val="24"/>
          <w:b w:val="false"/>
          <w:bCs w:val="false"/>
          <w:i w:val="false"/>
          <w:iCs w:val="false"/>
        </w:rPr>
        <w:t xml:space="preserve">Technical skill is assessed two ways: by credential and by experience. A credential shows a tested baseline across a defined body of knowledge. Experience is harder to assess and no less real, and a technician who has run a specific system for years may handle it better than someone holding a general certificate. The Agency weighs both, and matches the credential to the equipment the person actually maintains rather than to a list.</w:t>
      </w:r>
    </w:p>
    <w:p>
      <w:pPr>
        <w:spacing w:after="120" w:before="0"/>
      </w:pPr>
      <w:r>
        <w:rPr>
          <w:rFonts w:ascii="Aptos" w:cs="Aptos" w:eastAsia="Aptos" w:hAnsi="Aptos"/>
          <w:sz w:val="24"/>
          <w:szCs w:val="24"/>
          <w:b w:val="true"/>
          <w:bCs w:val="true"/>
          <w:i w:val="false"/>
          <w:iCs w:val="false"/>
        </w:rPr>
        <w:t xml:space="preserve">Approval and funding. </w:t>
      </w:r>
      <w:r>
        <w:rPr>
          <w:rFonts w:ascii="Aptos" w:cs="Aptos" w:eastAsia="Aptos" w:hAnsi="Aptos"/>
          <w:sz w:val="24"/>
          <w:szCs w:val="24"/>
          <w:b w:val="false"/>
          <w:bCs w:val="false"/>
          <w:i w:val="false"/>
          <w:iCs w:val="false"/>
        </w:rPr>
        <w:t>The Director approves credential sponsorship and continuing education against the Agency's stated security priorities, and the commitment is recorded in the Cybersecurity Budget &amp; Resource Allocation Record. State 9-1-1 fund distributions may be used for allowable training purposes; confirm the specific use before committing funds.</w:t>
      </w:r>
    </w:p>
    <w:p>
      <w:pPr>
        <w:spacing w:after="120" w:before="0"/>
      </w:pPr>
      <w:r>
        <w:rPr>
          <w:rFonts w:ascii="Aptos" w:cs="Aptos" w:eastAsia="Aptos" w:hAnsi="Aptos"/>
          <w:sz w:val="24"/>
          <w:szCs w:val="24"/>
          <w:b w:val="true"/>
          <w:bCs w:val="true"/>
          <w:i w:val="false"/>
          <w:iCs w:val="false"/>
        </w:rPr>
        <w:t xml:space="preserve">Study and exam time. </w:t>
      </w:r>
      <w:r>
        <w:rPr>
          <w:rFonts w:ascii="Aptos" w:cs="Aptos" w:eastAsia="Aptos" w:hAnsi="Aptos"/>
          <w:sz w:val="24"/>
          <w:szCs w:val="24"/>
          <w:b w:val="false"/>
          <w:bCs w:val="false"/>
          <w:i w:val="false"/>
          <w:iCs w:val="false"/>
        </w:rPr>
        <w:t>Preparation and exam time are on duty for the Security Coordinator, scheduled outside peak call volume. Shared county IT staff follow the county’s own training policy.</w:t>
      </w:r>
    </w:p>
    <w:p>
      <w:pPr>
        <w:spacing w:after="120" w:before="0"/>
      </w:pPr>
      <w:r>
        <w:rPr>
          <w:rFonts w:ascii="Aptos" w:cs="Aptos" w:eastAsia="Aptos" w:hAnsi="Aptos"/>
          <w:sz w:val="24"/>
          <w:szCs w:val="24"/>
          <w:b w:val="true"/>
          <w:bCs w:val="true"/>
          <w:i w:val="false"/>
          <w:iCs w:val="false"/>
        </w:rPr>
        <w:t xml:space="preserve">Maintaining a credential. </w:t>
      </w:r>
      <w:r>
        <w:rPr>
          <w:rFonts w:ascii="Aptos" w:cs="Aptos" w:eastAsia="Aptos" w:hAnsi="Aptos"/>
          <w:sz w:val="24"/>
          <w:szCs w:val="24"/>
          <w:b w:val="false"/>
          <w:bCs w:val="false"/>
          <w:i w:val="false"/>
          <w:iCs w:val="false"/>
        </w:rPr>
        <w:t xml:space="preserve">Most credentials require continuing education credits on a set cycle. The Agency tracks the renewal date alongside the training record, so a lapsed credential surfaces before it expires rather than at the next assessment.</w:t>
      </w:r>
    </w:p>
    <w:p>
      <w:pPr>
        <w:spacing w:after="120" w:before="0"/>
      </w:pPr>
      <w:r>
        <w:rPr>
          <w:rFonts w:ascii="Aptos" w:cs="Aptos" w:eastAsia="Aptos" w:hAnsi="Aptos"/>
          <w:sz w:val="24"/>
          <w:szCs w:val="24"/>
          <w:b w:val="true"/>
          <w:bCs w:val="true"/>
          <w:i w:val="false"/>
          <w:iCs w:val="false"/>
        </w:rPr>
        <w:t xml:space="preserve">If someone leaves. </w:t>
      </w:r>
      <w:r>
        <w:rPr>
          <w:rFonts w:ascii="Aptos" w:cs="Aptos" w:eastAsia="Aptos" w:hAnsi="Aptos"/>
          <w:sz w:val="24"/>
          <w:szCs w:val="24"/>
          <w:b w:val="false"/>
          <w:bCs w:val="false"/>
          <w:i w:val="false"/>
          <w:iCs w:val="false"/>
        </w:rPr>
        <w:t>A sponsored credential carries a twelve-month service commitment, waived where the Agency initiates the separation.</w:t>
      </w:r>
    </w:p>
    <w:p>
      <w:pPr>
        <w:spacing w:after="120" w:before="0"/>
      </w:pPr>
      <w:r>
        <w:rPr>
          <w:rFonts w:ascii="Aptos" w:cs="Aptos" w:eastAsia="Aptos" w:hAnsi="Aptos"/>
          <w:sz w:val="24"/>
          <w:szCs w:val="24"/>
          <w:b w:val="true"/>
          <w:bCs w:val="true"/>
          <w:i w:val="false"/>
          <w:iCs w:val="false"/>
        </w:rPr>
        <w:t xml:space="preserve">Where sponsorship is not affordable. </w:t>
      </w:r>
      <w:r>
        <w:rPr>
          <w:rFonts w:ascii="Aptos" w:cs="Aptos" w:eastAsia="Aptos" w:hAnsi="Aptos"/>
          <w:sz w:val="24"/>
          <w:szCs w:val="24"/>
          <w:b w:val="false"/>
          <w:bCs w:val="false"/>
          <w:i w:val="false"/>
          <w:iCs w:val="false"/>
        </w:rPr>
        <w:t xml:space="preserve">Vendor webinars, state-offered sessions, and no-cost federal cybersecurity training carry no sponsorship cost and are recorded the same way as a paid credential. An agency that cannot fund a certification can still show a workforce that is developing.</w:t>
      </w:r>
    </w:p>
    <w:p>
      <w:pPr>
        <w:pStyle w:val="Heading2"/>
        <w:spacing w:after="100" w:before="220"/>
      </w:pPr>
      <w:r>
        <w:rPr>
          <w:rFonts w:ascii="Aptos" w:cs="Aptos" w:eastAsia="Aptos" w:hAnsi="Aptos"/>
          <w:sz w:val="26"/>
          <w:szCs w:val="26"/>
          <w:b w:val="true"/>
          <w:bCs w:val="true"/>
          <w:i w:val="false"/>
          <w:iCs w:val="false"/>
          <w:color w:val="1B3A5C"/>
        </w:rPr>
        <w:t xml:space="preserve">6. Completion Tracking</w:t>
      </w:r>
    </w:p>
    <w:p>
      <w:pPr>
        <w:spacing w:after="120" w:before="0"/>
      </w:pPr>
      <w:r>
        <w:rPr>
          <w:rFonts w:ascii="Aptos" w:cs="Aptos" w:eastAsia="Aptos" w:hAnsi="Aptos"/>
          <w:sz w:val="24"/>
          <w:szCs w:val="24"/>
          <w:b w:val="false"/>
          <w:bCs w:val="false"/>
          <w:i w:val="false"/>
          <w:iCs w:val="false"/>
        </w:rPr>
        <w:t xml:space="preserve">Every completed track is recorded in the Training Completion Records, one row per person per track, using the track name exactly as it appears here so the log and this document stay readable against each other. Role-based tracks are marked as role-based in that log, which separates them from baseline awareness completions.</w:t>
      </w:r>
    </w:p>
    <w:p>
      <w:pPr>
        <w:spacing w:after="120" w:before="0"/>
      </w:pPr>
      <w:r>
        <w:rPr>
          <w:rFonts w:ascii="Aptos" w:cs="Aptos" w:eastAsia="Aptos" w:hAnsi="Aptos"/>
          <w:sz w:val="24"/>
          <w:szCs w:val="24"/>
          <w:b w:val="false"/>
          <w:bCs w:val="false"/>
          <w:i w:val="false"/>
          <w:iCs w:val="false"/>
        </w:rPr>
        <w:t xml:space="preserve">Where a knowledge check produces a demonstrated result rather than attendance, the result and any remediation are recorded in the Competency Assessment Records. CJIS Security Awareness Training completion is tracked in the CJIS Security Awareness Training Completion Record and is not duplicated here.</w:t>
      </w:r>
    </w:p>
    <w:p>
      <w:pPr>
        <w:spacing w:after="120" w:before="0"/>
      </w:pPr>
      <w:r>
        <w:rPr>
          <w:rFonts w:ascii="Aptos" w:cs="Aptos" w:eastAsia="Aptos" w:hAnsi="Aptos"/>
          <w:sz w:val="24"/>
          <w:szCs w:val="24"/>
          <w:b w:val="false"/>
          <w:bCs w:val="false"/>
          <w:i w:val="false"/>
          <w:iCs w:val="false"/>
        </w:rPr>
        <w:t>The Security Coordinator reviews assignment and completion at least quarterly, follows up on anything overdue, and reports completion against the targets leadership sets.</w:t>
      </w:r>
    </w:p>
    <w:p>
      <w:pPr>
        <w:pStyle w:val="Heading2"/>
        <w:spacing w:after="100" w:before="220"/>
      </w:pPr>
      <w:r>
        <w:rPr>
          <w:rFonts w:ascii="Aptos" w:cs="Aptos" w:eastAsia="Aptos" w:hAnsi="Aptos"/>
          <w:sz w:val="26"/>
          <w:szCs w:val="26"/>
          <w:b w:val="true"/>
          <w:bCs w:val="true"/>
          <w:i w:val="false"/>
          <w:iCs w:val="false"/>
          <w:color w:val="1B3A5C"/>
        </w:rPr>
        <w:t xml:space="preserve">7. Review and Refresh</w:t>
      </w:r>
    </w:p>
    <w:p>
      <w:pPr>
        <w:spacing w:after="120" w:before="0"/>
      </w:pPr>
      <w:r>
        <w:rPr>
          <w:rFonts w:ascii="Aptos" w:cs="Aptos" w:eastAsia="Aptos" w:hAnsi="Aptos"/>
          <w:sz w:val="24"/>
          <w:szCs w:val="24"/>
          <w:b w:val="false"/>
          <w:bCs w:val="false"/>
          <w:i w:val="false"/>
          <w:iCs w:val="false"/>
        </w:rPr>
        <w:t>This material is reviewed at least annually by the Security Coordinator, and revised sooner when any of the following happens: a new system or technology changes what a track must teach; an incident or after-action review shows a gap in what was taught; a phishing simulation or competency assessment shows a pattern of weakness; or a governing policy or standard named in a track's Teaches from line is revised.</w:t>
      </w:r>
    </w:p>
    <w:p>
      <w:pPr>
        <w:spacing w:after="120" w:before="0"/>
      </w:pPr>
      <w:r>
        <w:rPr>
          <w:rFonts w:ascii="Aptos" w:cs="Aptos" w:eastAsia="Aptos" w:hAnsi="Aptos"/>
          <w:sz w:val="24"/>
          <w:szCs w:val="24"/>
          <w:b w:val="false"/>
          <w:bCs w:val="false"/>
          <w:i w:val="false"/>
          <w:iCs w:val="false"/>
        </w:rPr>
        <w:t xml:space="preserve">Each review records what changed and why in the revision history. A review that produces no change at all is worth questioning: the threat picture in a 9-1-1 environment rarely holds still for a year.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security coordinator owns the worksheet and keeps it current. Technical tracks split between shared county IT and the coordinator, while Tracks E and F stay close to universal. Refresh the technical tracks more often than annually where the systems change, and report completion to leadership on the reporting cycle.</w:t>
            </w:r>
          </w:p>
        </w:tc>
      </w:tr>
    </w:tbl>
    <w:p>
      <w:pPr>
        <w:pStyle w:val="Heading2"/>
        <w:spacing w:after="100" w:before="220"/>
      </w:pPr>
      <w:r>
        <w:rPr>
          <w:rFonts w:ascii="Aptos" w:cs="Aptos" w:eastAsia="Aptos" w:hAnsi="Aptos"/>
          <w:sz w:val="26"/>
          <w:szCs w:val="26"/>
          <w:b w:val="true"/>
          <w:bCs w:val="true"/>
          <w:i w:val="false"/>
          <w:iCs w:val="false"/>
          <w:color w:val="1B3A5C"/>
        </w:rPr>
        <w:t xml:space="preserve">CJIS / Indiana Overlay Note</w:t>
      </w:r>
    </w:p>
    <w:p>
      <w:pPr>
        <w:spacing w:after="120" w:before="0"/>
      </w:pPr>
      <w:r>
        <w:rPr>
          <w:rFonts w:ascii="Aptos" w:cs="Aptos" w:eastAsia="Aptos" w:hAnsi="Aptos"/>
          <w:sz w:val="24"/>
          <w:szCs w:val="24"/>
          <w:b w:val="false"/>
          <w:bCs w:val="false"/>
          <w:i w:val="false"/>
          <w:iCs w:val="false"/>
        </w:rPr>
        <w:t>Track E covers the handling of criminal justice information, reached in Indiana through IDACS. That content sits alongside, and does not replace, the CJIS Security Awareness Training required for anyone with access to CJIS-regulated systems: that training is assigned in the Cybersecurity Training Plan and evidenced in the CJIS Security Awareness Training Completion Record. Indiana telecommunicator training requirements, including required IDACS and NCIC coursework, are met through the Agency’s telecommunicator basic training program and tracked alongside this material.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b w:val="false"/>
                <w:bCs w:val="false"/>
                <w:i w:val="false"/>
                <w:iCs w:val="false"/>
              </w:rPr>
              <w:t xml:space="preserve">NENA-STA-040.2-2024: §4.2.3 (Transport and Shipping of Electronic Media and Devices); §5.1 (Cybersecurity Training); §5.1.2 (Technician Security Training); §6.1.5 (Access Control for Display Medium); §6.1.7 (Identification Badges); §6.1.8 (Visitor Control); §6.6 (Inactive Sessions); §6.24 (Disposal)</w:t>
            </w:r>
          </w:p>
          <w:p>
            <w:pPr>
              <w:spacing w:after="40" w:before="0"/>
            </w:pPr>
            <w:r>
              <w:rPr>
                <w:rFonts w:ascii="Aptos" w:cs="Aptos" w:eastAsia="Aptos" w:hAnsi="Aptos"/>
                <w:sz w:val="24"/>
                <w:szCs w:val="24"/>
                <w:b w:val="false"/>
                <w:bCs w:val="false"/>
                <w:i w:val="false"/>
                <w:iCs w:val="false"/>
              </w:rPr>
              <w:t xml:space="preserve">NIST SP 800-53 Rev. 5: AC-11, AT-3, AT-4, AT-6, IR-2, MP-5, MP-6, PE-5, PL-4, PM-13</w:t>
            </w:r>
          </w:p>
          <w:p>
            <w:pPr>
              <w:spacing w:after="40" w:before="0"/>
            </w:pPr>
            <w:r>
              <w:rPr>
                <w:rFonts w:ascii="Aptos" w:cs="Aptos" w:eastAsia="Aptos" w:hAnsi="Aptos"/>
                <w:sz w:val="24"/>
                <w:szCs w:val="24"/>
                <w:b w:val="false"/>
                <w:bCs w:val="false"/>
                <w:i w:val="false"/>
                <w:iCs w:val="false"/>
              </w:rPr>
              <w:t xml:space="preserve">Indiana statutes and administrative code: HEA 1169 (2021): Cyber Incident Reporting to IOT; IC 24-4.9: Data Breach Notification; IC 36-8-16.7: Statewide 911 (allowable training uses); IC 36-8-16.8: Public Safety Telecommunicator Training; 240 IAC 5: IDACS Security</w:t>
            </w:r>
          </w:p>
          <w:p>
            <w:pPr>
              <w:spacing w:after="0" w:before="0"/>
            </w:pPr>
            <w:r>
              <w:rPr>
                <w:rFonts w:ascii="Aptos" w:cs="Aptos" w:eastAsia="Aptos" w:hAnsi="Aptos"/>
                <w:sz w:val="24"/>
                <w:szCs w:val="24"/>
                <w:b w:val="false"/>
                <w:bCs w:val="false"/>
                <w:i w:val="false"/>
                <w:iCs w:val="false"/>
              </w:rPr>
              <w:t xml:space="preserve">CJIS Security Policy v5.9: §5.2 (Security Awareness Training)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2026-06-15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2026-06-15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2026-06-15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valley-communication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0"/>
    <w:lvlOverride w:ilvl="0">
      <w:startOverride w:val="1"/>
    </w:lvlOverride>
  </w:num>
  <w:num w:numId="3">
    <w:abstractNumId w:val="8"/>
    <w:lvlOverride w:ilvl="0">
      <w:startOverride w:val="1"/>
    </w:lvlOverride>
  </w:num>
  <w:num w:numId="200">
    <w:abstractNumId w:val="8"/>
    <w:lvlOverride w:ilvl="0">
      <w:startOverride w:val="1"/>
    </w:lvlOverride>
  </w:num>
  <w:num w:numId="201">
    <w:abstractNumId w:val="8"/>
    <w:lvlOverride w:ilvl="0">
      <w:startOverride w:val="1"/>
    </w:lvlOverride>
  </w:num>
  <w:num w:numId="202">
    <w:abstractNumId w:val="8"/>
    <w:lvlOverride w:ilvl="0">
      <w:startOverride w:val="1"/>
    </w:lvlOverride>
  </w:num>
  <w:num w:numId="203">
    <w:abstractNumId w:val="8"/>
    <w:lvlOverride w:ilvl="0">
      <w:startOverride w:val="1"/>
    </w:lvlOverride>
  </w:num>
  <w:num w:numId="204">
    <w:abstractNumId w:val="8"/>
    <w:lvlOverride w:ilvl="0">
      <w:startOverride w:val="1"/>
    </w:lvlOverride>
  </w:num>
  <w:num w:numId="205">
    <w:abstractNumId w:val="8"/>
    <w:lvlOverride w:ilvl="0">
      <w:startOverride w:val="1"/>
    </w:lvlOverride>
  </w:num>
  <w:num w:numId="20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2026-06-01T15:29:11.521Z</dcterms:created>
  <dcterms:modified xsi:type="dcterms:W3CDTF">2026-06-01T15:29:11.521Z</dcterms:modified>
  <dc:title xmlns:dc="http://purl.org/dc/elements/1.1/">Role-Specific Training Materials - EXAMPLE - M</dc:title>
</cp:coreProperties>
</file>

<file path=docProps/custom.xml><?xml version="1.0" encoding="utf-8"?>
<Properties xmlns="http://schemas.openxmlformats.org/officeDocument/2006/custom-properties" xmlns:vt="http://schemas.openxmlformats.org/officeDocument/2006/docPropsVTypes"/>
</file>