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Server Room / Equipment Area Hardening Assessment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Cover</w:t>
            </w:r>
          </w:p>
          <w:p>
            <w:pPr>
              <w:spacing w:after="60"/>
            </w:pPr>
            <w:r>
              <w:rPr>
                <w:rFonts w:ascii="Aptos" w:cs="Aptos" w:eastAsia="Aptos" w:hAnsi="Aptos"/>
                <w:b/>
                <w:bCs/>
                <w:i w:val="false"/>
                <w:iCs w:val="false"/>
                <w:sz w:val="24"/>
                <w:szCs w:val="24"/>
              </w:rPr>
              <w:t xml:space="preserve">Assessment date: </w:t>
            </w:r>
            <w:r>
              <w:rPr>
                <w:rFonts w:ascii="Aptos" w:cs="Aptos" w:eastAsia="Aptos" w:hAnsi="Aptos"/>
                <w:b w:val="false"/>
                <w:bCs w:val="false"/>
                <w:i w:val="false"/>
                <w:iCs w:val="false"/>
                <w:sz w:val="24"/>
                <w:szCs w:val="24"/>
              </w:rPr>
              <w:t xml:space="preserve">January 20, 2026      </w:t>
            </w:r>
            <w:r>
              <w:rPr>
                <w:rFonts w:ascii="Aptos" w:cs="Aptos" w:eastAsia="Aptos" w:hAnsi="Aptos"/>
                <w:b/>
                <w:bCs/>
                <w:i w:val="false"/>
                <w:iCs w:val="false"/>
                <w:sz w:val="24"/>
                <w:szCs w:val="24"/>
              </w:rPr>
              <w:t xml:space="preserve">Assessor (role): </w:t>
            </w:r>
            <w:r>
              <w:rPr>
                <w:rFonts w:ascii="Aptos" w:cs="Aptos" w:eastAsia="Aptos" w:hAnsi="Aptos"/>
                <w:b w:val="false"/>
                <w:bCs w:val="false"/>
                <w:i w:val="false"/>
                <w:iCs w:val="false"/>
                <w:sz w:val="24"/>
                <w:szCs w:val="24"/>
              </w:rPr>
              <w:t>Information Security Analyst</w:t>
            </w:r>
          </w:p>
          <w:p>
            <w:pPr>
              <w:spacing w:after="60"/>
            </w:pPr>
            <w:r>
              <w:rPr>
                <w:rFonts w:ascii="Aptos" w:cs="Aptos" w:eastAsia="Aptos" w:hAnsi="Aptos"/>
                <w:b/>
                <w:bCs/>
                <w:i w:val="false"/>
                <w:iCs w:val="false"/>
                <w:sz w:val="24"/>
                <w:szCs w:val="24"/>
              </w:rPr>
              <w:t xml:space="preserve">Scope: </w:t>
            </w:r>
            <w:r>
              <w:rPr>
                <w:rFonts w:ascii="Aptos" w:cs="Aptos" w:eastAsia="Aptos" w:hAnsi="Aptos"/>
                <w:b w:val="false"/>
                <w:bCs w:val="false"/>
                <w:i w:val="false"/>
                <w:iCs w:val="false"/>
                <w:sz w:val="24"/>
                <w:szCs w:val="24"/>
              </w:rPr>
              <w:t>the Agency's server rooms and equipment areas, including cabling, equipment, and displays. Assessment period: Quarterly, Q1 2026</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Information Security Analyst</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Executive Summary</w:t>
      </w:r>
    </w:p>
    <w:p>
      <w:pPr>
        <w:spacing w:after="120" w:before="0"/>
      </w:pPr>
      <w:r>
        <w:rPr>
          <w:rFonts w:ascii="Aptos" w:cs="Aptos" w:eastAsia="Aptos" w:hAnsi="Aptos"/>
          <w:b w:val="false"/>
          <w:bCs w:val="false"/>
          <w:i w:val="false"/>
          <w:iCs w:val="false"/>
          <w:sz w:val="24"/>
          <w:szCs w:val="24"/>
        </w:rPr>
        <w:t>Tri-River Regional 911 Center equipment areas across both centers were assessed against the hardening standard. All four requirement areas conform. Facilities inspects placement and display protection monthly, and cabling is checked quarterly. No open gaps.</w:t>
      </w:r>
    </w:p>
    <w:p>
      <w:pPr>
        <w:pStyle w:val="Heading2"/>
        <w:spacing w:after="100" w:before="220"/>
      </w:pPr>
      <w:r>
        <w:rPr>
          <w:rFonts w:ascii="Aptos" w:cs="Aptos" w:eastAsia="Aptos" w:hAnsi="Aptos"/>
          <w:b/>
          <w:bCs/>
          <w:color w:val="1B3A5C"/>
          <w:sz w:val="26"/>
          <w:szCs w:val="26"/>
        </w:rPr>
        <w:t>2. Hardening Requirements Conformance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cantSplit/>
          <w:tblHeader/>
        </w:trPr>
        <w:tc>
          <w:tcPr>
            <w:tcW w:type="dxa" w:w="1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Requirement area</w:t>
            </w:r>
          </w:p>
        </w:tc>
        <w:tc>
          <w:tcPr>
            <w:tcW w:type="dxa" w:w="3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What good looks like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Conformance</w:t>
            </w:r>
          </w:p>
        </w:tc>
        <w:tc>
          <w:tcPr>
            <w:tcW w:type="dxa" w:w="3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Notes / gap</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Placement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Sensitive systems in restricted, climate-controlled rooms matched to classification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Conforms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Dedicated rooms, both centers; monthly facilities inspection</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Cabling &amp; conduit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Locked, labeled, restricted-zone cabling; inspected for tampering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Conforms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Locked trays, labeled; quarterly tamper check</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Equipment locking</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Equipment in locked racks or cabinets; keys limited to authorized staff</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Conforms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Locked racks; badge-controlled access</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Display protection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Privacy filters and automatic screen lock on dispatch and call-taker displays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Conforms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Privacy filters and 2-minute auto-lock; monthly check</w:t>
            </w:r>
          </w:p>
        </w:tc>
      </w:tr>
    </w:tbl>
    <w:p>
      <w:pPr>
        <w:pStyle w:val="Heading2"/>
        <w:spacing w:after="100" w:before="220"/>
      </w:pPr>
      <w:r>
        <w:rPr>
          <w:rFonts w:ascii="Aptos" w:cs="Aptos" w:eastAsia="Aptos" w:hAnsi="Aptos"/>
          <w:b/>
          <w:bCs/>
          <w:color w:val="1B3A5C"/>
          <w:sz w:val="26"/>
          <w:szCs w:val="26"/>
        </w:rPr>
        <w:t>3.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cantSplit/>
          <w:tblHeader/>
        </w:trPr>
        <w:tc>
          <w:tcPr>
            <w:tcW w:type="dxa" w:w="1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ID</w:t>
            </w:r>
          </w:p>
        </w:tc>
        <w:tc>
          <w:tcPr>
            <w:tcW w:type="dxa" w:w="3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Severity</w:t>
            </w:r>
          </w:p>
        </w:tc>
        <w:tc>
          <w:tcPr>
            <w:tcW w:type="dxa" w:w="3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Recommendation</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F-01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 deficiencies identified; all requirement areas conform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n/a</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Continue monthly and quarterly inspections</w:t>
            </w:r>
          </w:p>
        </w:tc>
      </w:tr>
    </w:tbl>
    <w:p>
      <w:pPr>
        <w:pStyle w:val="Heading2"/>
        <w:spacing w:after="100" w:before="220"/>
      </w:pPr>
      <w:r>
        <w:rPr>
          <w:rFonts w:ascii="Aptos" w:cs="Aptos" w:eastAsia="Aptos" w:hAnsi="Aptos"/>
          <w:b/>
          <w:bCs/>
          <w:color w:val="1B3A5C"/>
          <w:sz w:val="26"/>
          <w:szCs w:val="26"/>
        </w:rPr>
        <w:t>4. Remediation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1460"/>
        <w:gridCol w:w="1600"/>
      </w:tblGrid>
      <w:tr>
        <w:trPr>
          <w:cantSplit/>
          <w:tblHeader/>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 ID</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Owner (role)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Due date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Status</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None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 open items</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Closed</w:t>
            </w:r>
          </w:p>
        </w:tc>
      </w:tr>
    </w:tbl>
    <w:p>
      <w:pPr>
        <w:pStyle w:val="Heading2"/>
        <w:spacing w:after="100" w:before="220"/>
      </w:pPr>
      <w:r>
        <w:rPr>
          <w:rFonts w:ascii="Aptos" w:cs="Aptos" w:eastAsia="Aptos" w:hAnsi="Aptos"/>
          <w:b/>
          <w:bCs/>
          <w:color w:val="1B3A5C"/>
          <w:sz w:val="26"/>
          <w:szCs w:val="26"/>
        </w:rPr>
        <w:t>5. Shared-Space / Co-location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cantSplit/>
          <w:tblHeader/>
        </w:trPr>
        <w:tc>
          <w:tcPr>
            <w:tcW w:type="dxa" w:w="1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Co-located equipment</w:t>
            </w:r>
          </w:p>
        </w:tc>
        <w:tc>
          <w:tcPr>
            <w:tcW w:type="dxa" w:w="3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Shared with</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Risk</w:t>
            </w:r>
          </w:p>
        </w:tc>
        <w:tc>
          <w:tcPr>
            <w:tcW w:type="dxa" w:w="3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Compensating control</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 applicable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Equipment areas are dedicated PSAP space across both centers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n/a</w:t>
            </w:r>
          </w:p>
        </w:tc>
      </w:tr>
    </w:tbl>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Facilities or IT runs a scheduled formal assessment across both centers, with findings, severity, and remediation tracked as part of the security program.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§5.2, §6.1.1, §6.1.4, §6.1.5, §6.7.2</w:t>
            </w:r>
          </w:p>
          <w:p>
            <w:pPr>
              <w:spacing w:after="40" w:before="0"/>
            </w:pPr>
            <w:r>
              <w:rPr>
                <w:rFonts w:ascii="Aptos" w:cs="Aptos" w:eastAsia="Aptos" w:hAnsi="Aptos"/>
                <w:b w:val="false"/>
                <w:bCs w:val="false"/>
                <w:i w:val="false"/>
                <w:iCs w:val="false"/>
                <w:sz w:val="24"/>
                <w:szCs w:val="24"/>
              </w:rPr>
              <w:t>NIST SP 800-53 Rev. 5: CA-2, PE-3, PE-4, PE-5, PE-14, PE-18</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Assessor (Information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Reviewed by (Executive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assessment</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2026-06-01T15:29:11.506Z</dcterms:created>
  <dcterms:modified xsi:type="dcterms:W3CDTF">2026-06-01T15:29:11.506Z</dcterms:modified>
  <dc:title xmlns:dc="http://purl.org/dc/elements/1.1/">Server Room / Equipment Area Hardening Assessment Record - EXAMPLE - L</dc:title>
</cp:coreProperties>
</file>

<file path=docProps/custom.xml><?xml version="1.0" encoding="utf-8"?>
<Properties xmlns="http://schemas.openxmlformats.org/officeDocument/2006/custom-properties" xmlns:vt="http://schemas.openxmlformats.org/officeDocument/2006/docPropsVTypes"/>
</file>