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Server Room / Equipment Area Hardening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2, 2026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Agency's server rooms and equipment areas, including cabling, equipment, and displays. Assessment period: Semi-annual, Q1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Wabash Valley Communications equipment sits in a dedicated, access-controlled server room. Placement, locking, and display protection conform to the standard. A small number of patch cables were unlabeled and were corrected during the assessment. No shared-space exposure.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Hardening Requirements Conformance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Requirement area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What good looks like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Conformance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Notes / gap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Placement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Sensitive systems in restricted, climate-controlled rooms matched to classification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Dedicated access-controlled server room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Cabling &amp; conduit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Locked, labeled, restricted-zone cabling; inspected for tampering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Unlabeled patch cables corrected during the assessment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locking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in locked racks or cabinets; keys limited to authorized staff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Locked racks; keys held by IT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Display protection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automatic screen lock on dispatch and call-taker displays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Conforms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3-minute auto-lock on all positions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few patch cables in the server room were unlabeled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Label remaining cables and add to the quarterly check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Label cables; add to quarterly check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Shared-Space / Co-location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Co-located equipment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Shared with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Compensating control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 applicable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areas are dedicated PSAP space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n/a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and the security coordinator assess the equipment areas against the standard on a set cycle, log gaps as findings, and track them to closure in the finding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§5.2, §6.1.1, §6.1.4, §6.1.5, §6.7.2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PE-3, PE-4, PE-5, PE-14, PE-18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Assessor (Security Coordinator)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assessment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Server Room / Equipment Area Hardening Assessment Record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