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 xml:space="preserve">TDoS / DoS Response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sz w:val="24"/>
                <w:szCs w:val="24"/>
              </w:rPr>
              <w:t xml:space="preserve">Authority: </w:t>
            </w:r>
            <w:r>
              <w:rPr>
                <w:rFonts w:ascii="Aptos" w:cs="Aptos" w:eastAsia="Aptos" w:hAnsi="Aptos"/>
                <w:b w:val="false"/>
                <w:bCs w:val="false"/>
                <w:i w:val="false"/>
                <w:iCs w:val="false"/>
                <w:sz w:val="24"/>
                <w:szCs w:val="24"/>
              </w:rPr>
              <w:t xml:space="preserve">Adopted by </w:t>
            </w:r>
            <w:r>
              <w:rPr>
                <w:rFonts w:ascii="Aptos" w:cs="Aptos" w:eastAsia="Aptos" w:hAnsi="Aptos"/>
                <w:i w:val="false"/>
                <w:iCs w:val="false"/>
                <w:sz w:val="24"/>
                <w:szCs w:val="24"/>
              </w:rPr>
              <w:t>Wabash Valley Communications</w:t>
            </w:r>
            <w:r>
              <w:rPr>
                <w:rFonts w:ascii="Aptos" w:cs="Aptos" w:eastAsia="Aptos" w:hAnsi="Aptos"/>
                <w:b w:val="false"/>
                <w:bCs w:val="false"/>
                <w:i w:val="false"/>
                <w:iCs w:val="false"/>
                <w:sz w:val="24"/>
                <w:szCs w:val="24"/>
              </w:rPr>
              <w:t xml:space="preserve"> under the authority of </w:t>
            </w:r>
            <w:r>
              <w:rPr>
                <w:rFonts w:ascii="Aptos" w:cs="Aptos" w:eastAsia="Aptos" w:hAnsi="Aptos"/>
                <w:i w:val="false"/>
                <w:iCs w:val="false"/>
                <w:sz w:val="24"/>
                <w:szCs w:val="24"/>
              </w:rPr>
              <w:t>Anthony Reyes, Director</w:t>
            </w:r>
            <w:r>
              <w:rPr>
                <w:rFonts w:ascii="Aptos" w:cs="Aptos" w:eastAsia="Aptos" w:hAnsi="Aptos"/>
                <w:b w:val="false"/>
                <w:bCs w:val="false"/>
                <w:i w:val="false"/>
                <w:iCs w:val="false"/>
                <w:sz w:val="24"/>
                <w:szCs w:val="24"/>
              </w:rPr>
              <w:t xml:space="preserve">.</w:t>
            </w:r>
          </w:p>
          <w:p>
            <w:pPr>
              <w:spacing w:after="60"/>
            </w:pPr>
            <w:r>
              <w:rPr>
                <w:rFonts w:ascii="Aptos" w:cs="Aptos" w:eastAsia="Aptos" w:hAnsi="Aptos"/>
                <w:b/>
                <w:bCs/>
                <w:i w:val="false"/>
                <w:iCs w:val="false"/>
                <w:sz w:val="24"/>
                <w:szCs w:val="24"/>
              </w:rPr>
              <w:t xml:space="preserve">Version: </w:t>
            </w:r>
            <w:r>
              <w:rPr>
                <w:rFonts w:ascii="Aptos" w:cs="Aptos" w:eastAsia="Aptos" w:hAnsi="Aptos"/>
                <w:b w:val="false"/>
                <w:bCs w:val="false"/>
                <w:i w:val="false"/>
                <w:iCs w:val="false"/>
                <w:sz w:val="24"/>
                <w:szCs w:val="24"/>
              </w:rPr>
              <w:t xml:space="preserve">1.0    </w:t>
            </w:r>
            <w:r>
              <w:rPr>
                <w:rFonts w:ascii="Aptos" w:cs="Aptos" w:eastAsia="Aptos" w:hAnsi="Aptos"/>
                <w:b/>
                <w:bCs/>
                <w:i w:val="false"/>
                <w:iCs w:val="false"/>
                <w:sz w:val="24"/>
                <w:szCs w:val="24"/>
              </w:rPr>
              <w:t xml:space="preserve">Effective Date: </w:t>
            </w:r>
            <w:r>
              <w:rPr>
                <w:rFonts w:ascii="Aptos" w:cs="Aptos" w:eastAsia="Aptos" w:hAnsi="Aptos"/>
                <w:b w:val="false"/>
                <w:bCs w:val="false"/>
                <w:i w:val="false"/>
                <w:iCs w:val="false"/>
                <w:sz w:val="24"/>
                <w:szCs w:val="24"/>
              </w:rPr>
              <w:t xml:space="preserve">2026-03-05    </w:t>
            </w:r>
            <w:r>
              <w:rPr>
                <w:rFonts w:ascii="Aptos" w:cs="Aptos" w:eastAsia="Aptos" w:hAnsi="Aptos"/>
                <w:b/>
                <w:bCs/>
                <w:i w:val="false"/>
                <w:iCs w:val="false"/>
                <w:sz w:val="24"/>
                <w:szCs w:val="24"/>
              </w:rPr>
              <w:t xml:space="preserve">Next Review: </w:t>
            </w:r>
            <w:r>
              <w:rPr>
                <w:rFonts w:ascii="Aptos" w:cs="Aptos" w:eastAsia="Aptos" w:hAnsi="Aptos"/>
                <w:b w:val="false"/>
                <w:bCs w:val="false"/>
                <w:i w:val="false"/>
                <w:iCs w:val="false"/>
                <w:sz w:val="24"/>
                <w:szCs w:val="24"/>
              </w:rPr>
              <w:t>2027-03-05</w:t>
            </w:r>
          </w:p>
          <w:p>
            <w:pPr>
              <w:spacing w:after="60"/>
            </w:pPr>
            <w:r>
              <w:rPr>
                <w:rFonts w:ascii="Aptos" w:cs="Aptos" w:eastAsia="Aptos" w:hAnsi="Aptos"/>
                <w:b/>
                <w:bCs/>
                <w:i w:val="false"/>
                <w:iCs w:val="false"/>
                <w:sz w:val="24"/>
                <w:szCs w:val="24"/>
              </w:rPr>
              <w:t xml:space="preserve">Owner: </w:t>
            </w:r>
            <w:r>
              <w:rPr>
                <w:rFonts w:ascii="Aptos" w:cs="Aptos" w:eastAsia="Aptos" w:hAnsi="Aptos"/>
                <w:b w:val="false"/>
                <w:bCs w:val="false"/>
                <w:i w:val="false"/>
                <w:iCs w:val="false"/>
                <w:sz w:val="24"/>
                <w:szCs w:val="24"/>
              </w:rPr>
              <w:t xml:space="preserve">Security Coordinator   </w:t>
            </w:r>
            <w:r>
              <w:rPr>
                <w:rFonts w:ascii="Aptos" w:cs="Aptos" w:eastAsia="Aptos" w:hAnsi="Aptos"/>
                <w:b w:val="false"/>
                <w:bCs w:val="false"/>
                <w:i/>
                <w:iCs/>
                <w:color w:val="595959"/>
                <w:sz w:val="24"/>
                <w:szCs w:val="24"/>
              </w:rPr>
            </w:r>
          </w:p>
          <w:p>
            <w:pPr>
              <w:spacing w:after="20"/>
            </w:pPr>
            <w:r>
              <w:rPr>
                <w:rFonts w:ascii="Aptos" w:cs="Aptos" w:eastAsia="Aptos" w:hAnsi="Aptos"/>
                <w:b/>
                <w:bCs/>
                <w:i w:val="false"/>
                <w:iCs w:val="false"/>
                <w:sz w:val="24"/>
                <w:szCs w:val="24"/>
              </w:rPr>
              <w:t xml:space="preserve">Classification: </w:t>
            </w:r>
            <w:r>
              <w:rPr>
                <w:rFonts w:ascii="Aptos" w:cs="Aptos" w:eastAsia="Aptos" w:hAnsi="Aptos"/>
                <w:b w:val="false"/>
                <w:bCs w:val="false"/>
                <w:i w:val="false"/>
                <w:iCs w:val="false"/>
                <w:sz w:val="24"/>
                <w:szCs w:val="24"/>
              </w:rPr>
              <w:t>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b w:val="false"/>
          <w:bCs w:val="false"/>
          <w:i w:val="false"/>
          <w:iCs w:val="false"/>
          <w:sz w:val="24"/>
          <w:szCs w:val="24"/>
        </w:rPr>
        <w:t xml:space="preserve">This procedure defines how the Agency detects a telephony or network denial-of-service attack, keeps 9-1-1 answerable while it is under way, and returns to normal service once it clears. It applies whether the flood targets the phone path (TDoS) or the data network (DoS).</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b w:val="false"/>
          <w:bCs w:val="false"/>
          <w:i w:val="false"/>
          <w:iCs w:val="false"/>
          <w:sz w:val="24"/>
          <w:szCs w:val="24"/>
        </w:rPr>
        <w:t>Applies to: dispatch supervisors, the Security Coordinator, and shared county IT.</w:t>
      </w:r>
    </w:p>
    <w:p>
      <w:pPr>
        <w:pStyle w:val="ListParagraph"/>
        <w:numPr>
          <w:ilvl w:val="0"/>
          <w:numId w:val="2"/>
        </w:numPr>
        <w:spacing w:after="60"/>
      </w:pPr>
      <w:r>
        <w:rPr>
          <w:rFonts w:ascii="Aptos" w:cs="Aptos" w:eastAsia="Aptos" w:hAnsi="Aptos"/>
          <w:b w:val="false"/>
          <w:bCs w:val="false"/>
          <w:i w:val="false"/>
          <w:iCs w:val="false"/>
          <w:sz w:val="24"/>
          <w:szCs w:val="24"/>
        </w:rPr>
        <w:t xml:space="preserve">Covers: detection, upstream carrier and ESInet coordination, call filtering, network rate limiting, failover to backup call-handling, and recovery, for both telephony (TDoS) and network (DoS) denial-of-service.</w:t>
      </w:r>
    </w:p>
    <w:p>
      <w:pPr>
        <w:pStyle w:val="ListParagraph"/>
        <w:numPr>
          <w:ilvl w:val="0"/>
          <w:numId w:val="2"/>
        </w:numPr>
        <w:spacing w:after="60"/>
      </w:pPr>
      <w:r>
        <w:rPr>
          <w:rFonts w:ascii="Aptos" w:cs="Aptos" w:eastAsia="Aptos" w:hAnsi="Aptos"/>
          <w:b w:val="false"/>
          <w:bCs w:val="false"/>
          <w:i w:val="false"/>
          <w:iCs w:val="false"/>
          <w:sz w:val="24"/>
          <w:szCs w:val="24"/>
        </w:rPr>
        <w:t>Excludes: single-system outages with no attack indicator, which follow the Incident Response Plan, and routine call spikes handled under normal staffing.</w:t>
      </w:r>
    </w:p>
    <w:p>
      <w:pPr>
        <w:pStyle w:val="Heading2"/>
        <w:spacing w:after="100" w:before="220"/>
      </w:pPr>
      <w:r>
        <w:rPr>
          <w:rFonts w:ascii="Aptos" w:cs="Aptos" w:eastAsia="Aptos" w:hAnsi="Aptos"/>
          <w:b/>
          <w:bCs/>
          <w:color w:val="1B3A5C"/>
          <w:sz w:val="26"/>
          <w:szCs w:val="26"/>
        </w:rPr>
        <w:t xml:space="preserve">3. Prerequisites</w:t>
      </w:r>
    </w:p>
    <w:p>
      <w:pPr>
        <w:pStyle w:val="ListParagraph"/>
        <w:numPr>
          <w:ilvl w:val="0"/>
          <w:numId w:val="3"/>
        </w:numPr>
        <w:spacing w:after="60"/>
      </w:pPr>
      <w:r>
        <w:rPr>
          <w:rFonts w:ascii="Aptos" w:cs="Aptos" w:eastAsia="Aptos" w:hAnsi="Aptos"/>
          <w:b w:val="false"/>
          <w:bCs w:val="false"/>
          <w:i w:val="false"/>
          <w:iCs w:val="false"/>
          <w:sz w:val="24"/>
          <w:szCs w:val="24"/>
        </w:rPr>
        <w:t xml:space="preserve">Current upstream contacts for the 9-1-1 / ESInet service provider and the telephone carrier, held in the Incident Notification &amp; Escalation Contact List.</w:t>
      </w:r>
    </w:p>
    <w:p>
      <w:pPr>
        <w:pStyle w:val="ListParagraph"/>
        <w:numPr>
          <w:ilvl w:val="0"/>
          <w:numId w:val="3"/>
        </w:numPr>
        <w:spacing w:after="60"/>
      </w:pPr>
      <w:r>
        <w:rPr>
          <w:rFonts w:ascii="Aptos" w:cs="Aptos" w:eastAsia="Aptos" w:hAnsi="Aptos"/>
          <w:b w:val="false"/>
          <w:bCs w:val="false"/>
          <w:i w:val="false"/>
          <w:iCs w:val="false"/>
          <w:sz w:val="24"/>
          <w:szCs w:val="24"/>
        </w:rPr>
        <w:t xml:space="preserve">Detection signals available: session border controller or call-handling alarms, ANI/ALI anomaly indicators, and network traffic monitoring.</w:t>
      </w:r>
    </w:p>
    <w:p>
      <w:pPr>
        <w:pStyle w:val="ListParagraph"/>
        <w:numPr>
          <w:ilvl w:val="0"/>
          <w:numId w:val="3"/>
        </w:numPr>
        <w:spacing w:after="60"/>
      </w:pPr>
      <w:r>
        <w:rPr>
          <w:rFonts w:ascii="Aptos" w:cs="Aptos" w:eastAsia="Aptos" w:hAnsi="Aptos"/>
          <w:b w:val="false"/>
          <w:bCs w:val="false"/>
          <w:i w:val="false"/>
          <w:iCs w:val="false"/>
          <w:sz w:val="24"/>
          <w:szCs w:val="24"/>
        </w:rPr>
        <w:t xml:space="preserve">The Backup Call-Handling / Dispatch Continuity Procedure is current and staff know how to invoke it.</w:t>
      </w:r>
    </w:p>
    <w:p>
      <w:pPr>
        <w:pStyle w:val="Heading2"/>
        <w:spacing w:after="100" w:before="220"/>
      </w:pPr>
      <w:r>
        <w:rPr>
          <w:rFonts w:ascii="Aptos" w:cs="Aptos" w:eastAsia="Aptos" w:hAnsi="Aptos"/>
          <w:b/>
          <w:bCs/>
          <w:color w:val="1B3A5C"/>
          <w:sz w:val="26"/>
          <w:szCs w:val="26"/>
        </w:rPr>
        <w:t xml:space="preserve">4. Procedure Steps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5860"/>
        <w:gridCol w:w="2400"/>
      </w:tblGrid>
      <w:tr>
        <w:trPr>
          <w:cantSplit/>
          <w:tblHeader/>
        </w:trPr>
        <w:tc>
          <w:tcPr>
            <w:tcW w:type="dxa" w:w="11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Step</w:t>
            </w:r>
          </w:p>
        </w:tc>
        <w:tc>
          <w:tcPr>
            <w:tcW w:type="dxa" w:w="58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Action</w:t>
            </w:r>
          </w:p>
        </w:tc>
        <w:tc>
          <w:tcPr>
            <w:tcW w:type="dxa" w:w="2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Responsible role</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Detect: recognize a denial-of-service pattern, such as a flood of repeated or spoofed calls, dead-air calls, or abnormal traffic against call-handling systems.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Dispatch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Classify and declare: assign a severity using the Incident Classification &amp; Severity Matrix and declare a TDoS/DoS event so response begins.</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3</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Contain (network): apply rate limiting, block offending sources, and tighten firewall rules for a network DoS, without dropping legitimate traffic.</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Shared county IT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4</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Coordinate (telephony): contact the carrier and the 9-1-1 / ESInet provider to filter or reroute the offending call source upstream of the PSAP.</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 / shared county IT</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5</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Maintain continuity: if call-taking is degraded, invoke the Backup Call-Handling / Dispatch Continuity Procedure so 9-1-1 calls keep being answered.</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Dispatch supervisor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6</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Escalate and report: notify the roles named for the severity tier in the Incident Notification &amp; Escalation Contact List, and report to the Indiana Office of Technology within two business days if it is a cybersecurity incident.</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w:t>
            </w:r>
          </w:p>
        </w:tc>
      </w:tr>
      <w:tr>
        <w:trPr>
          <w:cantSplit/>
        </w:trPr>
        <w:tc>
          <w:tcPr>
            <w:tcW w:type="dxa" w:w="11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7</w:t>
            </w:r>
          </w:p>
        </w:tc>
        <w:tc>
          <w:tcPr>
            <w:tcW w:type="dxa" w:w="58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Recover and record: confirm normal call flow and traffic, stand down upstream filtering, and record the event in the Incident Log / Register for after-action review.</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 / shared county IT</w:t>
            </w:r>
          </w:p>
        </w:tc>
      </w:tr>
    </w:tbl>
    <w:p>
      <w:pPr>
        <w:pStyle w:val="Heading2"/>
        <w:spacing w:after="100" w:before="220"/>
      </w:pPr>
      <w:r>
        <w:rPr>
          <w:rFonts w:ascii="Aptos" w:cs="Aptos" w:eastAsia="Aptos" w:hAnsi="Aptos"/>
          <w:b/>
          <w:bCs/>
          <w:color w:val="1B3A5C"/>
          <w:sz w:val="26"/>
          <w:szCs w:val="26"/>
        </w:rPr>
        <w:t xml:space="preserve">5. Verification Criteria</w:t>
      </w:r>
    </w:p>
    <w:p>
      <w:pPr>
        <w:spacing w:after="120" w:before="0"/>
      </w:pPr>
      <w:r>
        <w:rPr>
          <w:rFonts w:ascii="Aptos" w:cs="Aptos" w:eastAsia="Aptos" w:hAnsi="Aptos"/>
          <w:b w:val="false"/>
          <w:bCs w:val="false"/>
          <w:i w:val="false"/>
          <w:iCs w:val="false"/>
          <w:sz w:val="24"/>
          <w:szCs w:val="24"/>
        </w:rPr>
        <w:t xml:space="preserve">9-1-1 calls continued to be answered throughout the event, the offending source was filtered or blocked, call flow and network traffic returned to normal, and the event is recorded in the Incident Log / Register with any follow-up opened as a finding.</w:t>
      </w:r>
    </w:p>
    <w:p>
      <w:pPr>
        <w:pStyle w:val="Heading2"/>
        <w:spacing w:after="100" w:before="220"/>
      </w:pPr>
      <w:r>
        <w:rPr>
          <w:rFonts w:ascii="Aptos" w:cs="Aptos" w:eastAsia="Aptos" w:hAnsi="Aptos"/>
          <w:b/>
          <w:bCs/>
          <w:color w:val="1B3A5C"/>
          <w:sz w:val="26"/>
          <w:szCs w:val="26"/>
        </w:rPr>
        <w:t xml:space="preserve">6. Testing and Validation</w:t>
      </w:r>
    </w:p>
    <w:p>
      <w:pPr>
        <w:spacing w:after="120" w:before="0"/>
      </w:pPr>
      <w:r>
        <w:rPr>
          <w:rFonts w:ascii="Aptos" w:cs="Aptos" w:eastAsia="Aptos" w:hAnsi="Aptos"/>
          <w:b w:val="false"/>
          <w:bCs w:val="false"/>
          <w:i w:val="false"/>
          <w:iCs w:val="false"/>
          <w:sz w:val="24"/>
          <w:szCs w:val="24"/>
        </w:rPr>
        <w:t xml:space="preserve">Twice a year, shared county IT runs a controlled rate-limit and firewall-block test against a non-production segment to confirm the thresholds trigger and raise an alert, and the Security Coordinator walks the upstream-coordination and continuity steps with the on-duty supervisor. Results are recorded, and any deficiency is opened as a finding and tracked. Cadence and ownership follow the Network Monitoring Policy.</w:t>
      </w:r>
    </w:p>
    <w:p>
      <w:pPr>
        <w:pStyle w:val="Heading2"/>
        <w:spacing w:after="100" w:before="220"/>
      </w:pPr>
      <w:r>
        <w:rPr>
          <w:rFonts w:ascii="Aptos" w:cs="Aptos" w:eastAsia="Aptos" w:hAnsi="Aptos"/>
          <w:b/>
          <w:bCs/>
          <w:color w:val="1B3A5C"/>
          <w:sz w:val="26"/>
          <w:szCs w:val="26"/>
        </w:rPr>
        <w:t xml:space="preserve">7. Related Documents</w:t>
      </w:r>
    </w:p>
    <w:p>
      <w:pPr>
        <w:spacing w:after="120" w:before="0"/>
      </w:pPr>
      <w:r>
        <w:rPr>
          <w:rFonts w:ascii="Aptos" w:cs="Aptos" w:eastAsia="Aptos" w:hAnsi="Aptos"/>
          <w:b w:val="false"/>
          <w:bCs w:val="false"/>
          <w:i w:val="false"/>
          <w:iCs w:val="false"/>
          <w:sz w:val="24"/>
          <w:szCs w:val="24"/>
        </w:rPr>
        <w:t xml:space="preserve">Incident Response Plan; Backup Call-Handling / Dispatch Continuity Procedure; Incident Classification &amp; Severity Matrix; Incident Notification &amp; Escalation Contact List; Network Monitoring Policy; Incident Log / Register.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Medium (6–25, shared county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Shared IT applies rate limiting and firewall blocks and coordinates with the carrier while a coordinator manages continuity; the severity tiers decide who is notified and when.</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bCs w:val="false"/>
                <w:iCs w:val="false"/>
                <w:sz w:val="24"/>
                <w:szCs w:val="24"/>
              </w:rPr>
              <w:t xml:space="preserve">NENA-STA-040.2-2024: §5.3 (Availability), §5.6.4 (Intrusion Monitoring), §5.6.5 (Incident Response)</w:t>
            </w:r>
          </w:p>
          <w:p>
            <w:pPr>
              <w:spacing w:after="40" w:before="0"/>
            </w:pPr>
            <w:r>
              <w:rPr>
                <w:rFonts w:ascii="Aptos" w:cs="Aptos" w:eastAsia="Aptos" w:hAnsi="Aptos"/>
                <w:bCs w:val="false"/>
                <w:iCs w:val="false"/>
                <w:sz w:val="24"/>
                <w:szCs w:val="24"/>
              </w:rPr>
              <w:t xml:space="preserve">NIST SP 800-53 Rev. 5: IR-4, IR-6, SC-5, SC-7</w:t>
            </w:r>
          </w:p>
          <w:p>
            <w:pPr>
              <w:spacing w:after="40" w:before="0"/>
            </w:pPr>
            <w:r>
              <w:rPr>
                <w:rFonts w:ascii="Aptos" w:cs="Aptos" w:eastAsia="Aptos" w:hAnsi="Aptos"/>
                <w:bCs w:val="false"/>
                <w:iCs w:val="false"/>
                <w:sz w:val="24"/>
                <w:szCs w:val="24"/>
              </w:rPr>
              <w:t xml:space="preserve">Indiana statutes and administrative code: HEA 1169 (2021), cyber incident reporting to the Indiana Office of Technology</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Anthony Reyes</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/s/ Anthony Reyes</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2026-03-05</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(on file)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r>
              <w:t xml:space="preserve">2026-03-05</w:t>
            </w: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2026-03-05</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wabash-valley-communications.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1"/>
    <w:lvlOverride w:ilvl="0">
      <w:startOverride w:val="1"/>
    </w:lvlOverride>
  </w:num>
  <w:num w:numId="3">
    <w:abstractNumId w:val="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2026-06-01T15:29:11.455Z</dcterms:created>
  <dcterms:modified xsi:type="dcterms:W3CDTF">2026-06-01T15:29:11.455Z</dcterms:modified>
  <dc:title xmlns:dc="http://purl.org/dc/elements/1.1/">TDoS / DoS Response Procedure - EXAMPLE - M</dc:title>
</cp:coreProperties>
</file>

<file path=docProps/custom.xml><?xml version="1.0" encoding="utf-8"?>
<Properties xmlns="http://schemas.openxmlformats.org/officeDocument/2006/custom-properties" xmlns:vt="http://schemas.openxmlformats.org/officeDocument/2006/docPropsVTypes"/>
</file>