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Access Control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«Minimum for Policy artifacts. Appended “ / CJIS” because access to IDACS-reached systems is in scope.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defines who may access which systems, under what conditions, and through what approval. Replace every [BRACKETED] field,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It covers human and non-human accounts alike. The Service &amp; Cloud Accounts section is required: leave it in even if the Agency has only a few service accounts today.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access to the Agency's systems and data so that each person and each automated account has only the access it needs, granted through a defined approval, and removed when no longer needed. Least privilege is the default. The aim is to keep public-safety systems available and their data protected against misuse.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personnel, contractors, and vendors who hold or grant access, and to every account type: user, administrative, service, cloud, vendor, and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public-safety systems and the accounts that reach them, including CAD, call handling, GIS, and systems reached through IDACS.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[systems owned and operated solely by another agency under a separate agreement, if any].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account: a non-human account used by a system or application, not by a person.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Privileged account: an account with administrative rights over a system, application, or other accounts.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Agency systems is granted only after the [Director / Coordinator] or a delegated approver authorizes it, and only at the least privilege the role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User accounts are unique to one person; shared logins are not permitted on systems that support individual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Administrative and other privileged accounts are limited to named roles, used only for privileged work, and reviewed at least [quarterly].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Vendor and contractor access is time-bound, tied to a specific task, and removed when the work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Remote access is allowed only through Agency-approved methods and is governed in addition by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reviewed on a set cadence and certified by the system or data owner; entitlements are recorded in the Access Entitlement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changed or removed promptly on role change or separation, following the account provisioning and deprovisioning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systems reached through IDACS is governed in addition by the CJIS Handling Addendum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Service &amp; Cloud Accounts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«Required dedicated controls for non-human accounts. Keep this section even if few service accounts exist today.»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service and cloud account has a named owner (a role) accountable for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has a documented purpose and a defined lifespan, and is disabled when its purpose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is scoped to the least privilege it needs and does not carry interactive-login rights unless required and approved.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and cloud accounts are reviewed at least [quarterly] and recorded in the Privileged &amp; Service Account Inventory.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policy, authorizes access,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Provisions, changes, and removes access; maintains service and cloud accounts.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[System / data owner]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Certifies periodic access reviews for the systems they 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Use only the access granted to them and report access that looks wrong.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[Director / Coordinator] monitors compliance. Access granted outside this policy is revoked,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[Director / Coordinator], must state the access affected and any compensating control, and expire after [period]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 or access model, by the [Director / Coordinator].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as written. The director approves access directly and county or vendor IT carries it out. Keep a simple list of service accounts and review access once a year.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tracks entitlements and runs the quarterly privileged-account review with county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 access through a formal request-and-certification process. Security maintains the entitlement matrix and the service-account inventory and reports review status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if this policy touches CJIS-regulated data (in Indiana, typically via IDACS). Do not restate the CJIS Security Policy; reference it. Delete if not applicable.»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Access to systems carrying CJIS-regulated data, reached in Indiana through IDACS, is governed by the FBI CJIS Security Policy §5.5 (Access Control) and 240 IAC 5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§6.2, §6.2.1, §6.2.1.5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AC-1, AC-2, AC-3, AC-5, AC-6, AC-17, AC-20, IA-2, IA-4,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§5.5 (Access Control;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The Service &amp; Cloud Accounts section satisfies assessment question 2A-6 (a dedicated service/cloud-account policy with owner, purpose, lifespan, privilege scope, and review cadence). Keep it as a named section; do not fold it back into the general statements.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Cross-referenced artifacts use their Tracker names: Access Entitlement Matrix, Remote Access Policy, Privileged &amp; Service Account Inventory, and the account provisioning and deprovisioning workflow.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Agency-supplied values left in brackets: review cadences, exception period, and the named approver role.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Access Control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