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Signed Acknowledgment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Acknowledging Individual</w:t>
            </w:r>
          </w:p>
          <w:p>
            <w:pPr>
              <w:spacing w:after="60"/>
            </w:pPr>
            <w:r>
              <w:rPr>
                <w:rFonts w:ascii="Aptos" w:cs="Aptos" w:eastAsia="Aptos" w:hAnsi="Aptos"/>
                <w:b/>
                <w:bCs/>
                <w:i w:val="false"/>
                <w:iCs w:val="false"/>
                <w:sz w:val="24"/>
                <w:szCs w:val="24"/>
              </w:rPr>
              <w:t xml:space="preserve">Name: </w:t>
            </w:r>
            <w:r>
              <w:rPr>
                <w:rFonts w:ascii="Aptos" w:cs="Aptos" w:eastAsia="Aptos" w:hAnsi="Aptos"/>
                <w:b w:val="false"/>
                <w:bCs w:val="false"/>
                <w:i w:val="false"/>
                <w:iCs w:val="false"/>
                <w:sz w:val="24"/>
                <w:szCs w:val="24"/>
              </w:rPr>
              <w:t xml:space="preserve">[Full name of person acknowledging]</w:t>
            </w:r>
          </w:p>
          <w:p>
            <w:pPr>
              <w:spacing w:after="60"/>
            </w:pPr>
            <w:r>
              <w:rPr>
                <w:rFonts w:ascii="Aptos" w:cs="Aptos" w:eastAsia="Aptos" w:hAnsi="Aptos"/>
                <w:b/>
                <w:bCs/>
                <w:i w:val="false"/>
                <w:iCs w:val="false"/>
                <w:sz w:val="24"/>
                <w:szCs w:val="24"/>
              </w:rPr>
              <w:t xml:space="preserve">Role / status: </w:t>
            </w:r>
            <w:r>
              <w:rPr>
                <w:rFonts w:ascii="Aptos" w:cs="Aptos" w:eastAsia="Aptos" w:hAnsi="Aptos"/>
                <w:b w:val="false"/>
                <w:bCs w:val="false"/>
                <w:i w:val="false"/>
                <w:iCs w:val="false"/>
                <w:sz w:val="24"/>
                <w:szCs w:val="24"/>
              </w:rPr>
              <w:t xml:space="preserve">[Role / title; mark employee or contractor]</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Confidential</w:t>
            </w:r>
          </w:p>
          <w:p>
            <w:pPr>
              <w:spacing w:after="0"/>
            </w:pPr>
            <w:r>
              <w:rPr>
                <w:rFonts w:ascii="Aptos" w:cs="Aptos" w:eastAsia="Aptos" w:hAnsi="Aptos"/>
                <w:i/>
                <w:iCs/>
                <w:color w:val="595959"/>
                <w:sz w:val="24"/>
                <w:szCs w:val="24"/>
              </w:rPr>
              <w:t xml:space="preserve">«Minimum for signed acknowledgment records, which name the individual who signs. An agency may raise this but not lower it. Add / CJIS to the privileged-user variant when it covers CJIS or IDACS access.»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acknowledgment establishes and why personnel sign it. One or two sentences.»</w:t>
      </w:r>
    </w:p>
    <w:p>
      <w:pPr>
        <w:spacing w:after="120" w:before="0"/>
      </w:pPr>
      <w:r>
        <w:rPr>
          <w:rFonts w:ascii="Aptos" w:cs="Aptos" w:eastAsia="Aptos" w:hAnsi="Aptos"/>
          <w:b w:val="false"/>
          <w:bCs w:val="false"/>
          <w:i w:val="false"/>
          <w:iCs w:val="false"/>
          <w:sz w:val="24"/>
          <w:szCs w:val="24"/>
        </w:rPr>
        <w:t xml:space="preserve">This record captures each individual’s signed acknowledgment that they have read, understood, and agreed to follow the Agency’s Acceptable Use Policy before they are granted access to PSAP systems, data, or facilities, renewed at least once a year. Personnel who handle or transport sensitive electronic media, and personnel granted privileged or administrative access, also sign the matching acknowledgment variant below.</w:t>
      </w:r>
    </w:p>
    <w:p>
      <w:pPr>
        <w:pStyle w:val="Heading2"/>
        <w:spacing w:after="100" w:before="220"/>
      </w:pPr>
      <w:r>
        <w:rPr>
          <w:rFonts w:ascii="Aptos" w:cs="Aptos" w:eastAsia="Aptos" w:hAnsi="Aptos"/>
          <w:b/>
          <w:bCs/>
          <w:color w:val="1B3A5C"/>
          <w:sz w:val="26"/>
          <w:szCs w:val="26"/>
        </w:rPr>
        <w:t xml:space="preserve">2. Acknowledgment Statements</w:t>
      </w:r>
    </w:p>
    <w:p>
      <w:pPr>
        <w:spacing w:after="60"/>
      </w:pPr>
      <w:r>
        <w:rPr>
          <w:rFonts w:ascii="Aptos" w:cs="Aptos" w:eastAsia="Aptos" w:hAnsi="Aptos"/>
          <w:i/>
          <w:iCs/>
          <w:color w:val="595959"/>
          <w:sz w:val="24"/>
          <w:szCs w:val="24"/>
        </w:rPr>
        <w:t xml:space="preserve">«The statements the individual attests to, in plain first-person. Keep the media-handling and privileged blocks only for the personnel they cover; delete a block that does not apply.»</w:t>
      </w:r>
    </w:p>
    <w:p>
      <w:pPr>
        <w:spacing w:after="60"/>
      </w:pPr>
      <w:r>
        <w:rPr>
          <w:rFonts w:ascii="Aptos" w:cs="Aptos" w:eastAsia="Aptos" w:hAnsi="Aptos"/>
          <w:sz w:val="24"/>
          <w:szCs w:val="24"/>
        </w:rPr>
        <w:t xml:space="preserve">By signing, the individual named above acknowledges that:</w:t>
      </w:r>
    </w:p>
    <w:p>
      <w:pPr>
        <w:pStyle w:val="ListParagraph"/>
        <w:numPr>
          <w:ilvl w:val="0"/>
          <w:numId w:val="2"/>
        </w:numPr>
        <w:spacing w:after="60"/>
      </w:pPr>
      <w:r>
        <w:rPr>
          <w:rFonts w:ascii="Aptos" w:cs="Aptos" w:eastAsia="Aptos" w:hAnsi="Aptos"/>
          <w:b w:val="false"/>
          <w:bCs w:val="false"/>
          <w:i w:val="false"/>
          <w:iCs w:val="false"/>
          <w:sz w:val="24"/>
          <w:szCs w:val="24"/>
        </w:rPr>
        <w:t xml:space="preserve">They have read and understand the Agency’s Acceptable Use Policy.</w:t>
      </w:r>
    </w:p>
    <w:p>
      <w:pPr>
        <w:pStyle w:val="ListParagraph"/>
        <w:numPr>
          <w:ilvl w:val="0"/>
          <w:numId w:val="2"/>
        </w:numPr>
        <w:spacing w:after="60"/>
      </w:pPr>
      <w:r>
        <w:rPr>
          <w:rFonts w:ascii="Aptos" w:cs="Aptos" w:eastAsia="Aptos" w:hAnsi="Aptos"/>
          <w:b w:val="false"/>
          <w:bCs w:val="false"/>
          <w:i w:val="false"/>
          <w:iCs w:val="false"/>
          <w:sz w:val="24"/>
          <w:szCs w:val="24"/>
        </w:rPr>
        <w:t xml:space="preserve">They agree to follow it for as long as they hold access to Agency systems, data, and facilities, including the rules on logoff, credential protection, personal-device use, and handling of sensitive data.</w:t>
      </w:r>
    </w:p>
    <w:p>
      <w:pPr>
        <w:pStyle w:val="ListParagraph"/>
        <w:numPr>
          <w:ilvl w:val="0"/>
          <w:numId w:val="2"/>
        </w:numPr>
        <w:spacing w:after="60"/>
      </w:pPr>
      <w:r>
        <w:rPr>
          <w:rFonts w:ascii="Aptos" w:cs="Aptos" w:eastAsia="Aptos" w:hAnsi="Aptos"/>
          <w:b w:val="false"/>
          <w:bCs w:val="false"/>
          <w:i w:val="false"/>
          <w:iCs w:val="false"/>
          <w:sz w:val="24"/>
          <w:szCs w:val="24"/>
        </w:rPr>
        <w:t xml:space="preserve">They understand that access is granted only after this acknowledgment is signed, and that a violation may cost them that access and lead to disciplinary action under the Agency’s corrective process.</w:t>
      </w:r>
    </w:p>
    <w:p>
      <w:pPr>
        <w:pStyle w:val="ListParagraph"/>
        <w:numPr>
          <w:ilvl w:val="0"/>
          <w:numId w:val="2"/>
        </w:numPr>
        <w:spacing w:after="60"/>
      </w:pPr>
      <w:r>
        <w:rPr>
          <w:rFonts w:ascii="Aptos" w:cs="Aptos" w:eastAsia="Aptos" w:hAnsi="Aptos"/>
          <w:b w:val="false"/>
          <w:bCs w:val="false"/>
          <w:i w:val="false"/>
          <w:iCs w:val="false"/>
          <w:sz w:val="24"/>
          <w:szCs w:val="24"/>
        </w:rPr>
        <w:t xml:space="preserve">They will renew this acknowledgment at least once a year, and again whenever the Acceptable Use Policy changes in a way that affects them.</w:t>
      </w:r>
    </w:p>
    <w:p>
      <w:pPr>
        <w:spacing w:before="160" w:after="60"/>
      </w:pPr>
      <w:r>
        <w:rPr>
          <w:rFonts w:ascii="Aptos" w:cs="Aptos" w:eastAsia="Aptos" w:hAnsi="Aptos"/>
          <w:b/>
          <w:bCs/>
          <w:color w:val="1B3A5C"/>
          <w:sz w:val="24"/>
          <w:szCs w:val="24"/>
        </w:rPr>
        <w:t xml:space="preserve">Media-Handling Acknowledgment</w:t>
      </w:r>
    </w:p>
    <w:p>
      <w:pPr>
        <w:spacing w:after="60"/>
      </w:pPr>
      <w:r>
        <w:rPr>
          <w:rFonts w:ascii="Aptos" w:cs="Aptos" w:eastAsia="Aptos" w:hAnsi="Aptos"/>
          <w:i/>
          <w:iCs/>
          <w:color w:val="595959"/>
          <w:sz w:val="24"/>
          <w:szCs w:val="24"/>
        </w:rPr>
        <w:t xml:space="preserve">«Complete only for personnel who handle or transport sensitive electronic media such as USB drives, backup media, or devices.»</w:t>
      </w:r>
    </w:p>
    <w:p>
      <w:pPr>
        <w:spacing w:after="60"/>
        <w:ind w:left="360"/>
      </w:pPr>
      <w:r>
        <w:rPr>
          <w:rFonts w:ascii="Aptos" w:cs="Aptos" w:eastAsia="Aptos" w:hAnsi="Aptos"/>
          <w:sz w:val="24"/>
          <w:szCs w:val="24"/>
        </w:rPr>
        <w:t xml:space="preserve">The individual also acknowledges that they will store, transport, and dispose of sensitive electronic media only as set out in the Document Handling Standard, and that they are responsible for protecting any media in their custody.</w:t>
      </w:r>
    </w:p>
    <w:p>
      <w:pPr>
        <w:spacing w:before="160" w:after="60"/>
      </w:pPr>
      <w:r>
        <w:rPr>
          <w:rFonts w:ascii="Aptos" w:cs="Aptos" w:eastAsia="Aptos" w:hAnsi="Aptos"/>
          <w:b/>
          <w:bCs/>
          <w:color w:val="1B3A5C"/>
          <w:sz w:val="24"/>
          <w:szCs w:val="24"/>
        </w:rPr>
        <w:t xml:space="preserve">Privileged / Administrative-Access Acknowledgment</w:t>
      </w:r>
    </w:p>
    <w:p>
      <w:pPr>
        <w:spacing w:after="60"/>
      </w:pPr>
      <w:r>
        <w:rPr>
          <w:rFonts w:ascii="Aptos" w:cs="Aptos" w:eastAsia="Aptos" w:hAnsi="Aptos"/>
          <w:i/>
          <w:iCs/>
          <w:color w:val="595959"/>
          <w:sz w:val="24"/>
          <w:szCs w:val="24"/>
        </w:rPr>
        <w:t xml:space="preserve">«Complete only for personnel granted privileged or administrative access.»</w:t>
      </w:r>
    </w:p>
    <w:p>
      <w:pPr>
        <w:spacing w:after="60"/>
        <w:ind w:left="360"/>
      </w:pPr>
      <w:r>
        <w:rPr>
          <w:rFonts w:ascii="Aptos" w:cs="Aptos" w:eastAsia="Aptos" w:hAnsi="Aptos"/>
          <w:sz w:val="24"/>
          <w:szCs w:val="24"/>
        </w:rPr>
        <w:t xml:space="preserve">The individual also acknowledges the enhanced rules of conduct for privileged accounts, that privileged actions are logged and reviewed, and that misuse of administrative access is subject to the Agency’s accountability and incident-response process.</w:t>
      </w:r>
    </w:p>
    <w:p>
      <w:pPr>
        <w:pStyle w:val="Heading2"/>
        <w:spacing w:after="100" w:before="220"/>
      </w:pPr>
      <w:r>
        <w:rPr>
          <w:rFonts w:ascii="Aptos" w:cs="Aptos" w:eastAsia="Aptos" w:hAnsi="Aptos"/>
          <w:b/>
          <w:bCs/>
          <w:color w:val="1B3A5C"/>
          <w:sz w:val="26"/>
          <w:szCs w:val="26"/>
        </w:rPr>
        <w:t xml:space="preserve">3. Signatures</w:t>
      </w:r>
    </w:p>
    <w:p>
      <w:pPr>
        <w:spacing w:after="140"/>
      </w:pPr>
      <w:r>
        <w:rPr>
          <w:rFonts w:ascii="Aptos" w:cs="Aptos" w:eastAsia="Aptos" w:hAnsi="Aptos"/>
          <w:i/>
          <w:iCs/>
          <w:color w:val="595959"/>
          <w:sz w:val="24"/>
          <w:szCs w:val="24"/>
        </w:rPr>
        <w:t xml:space="preserve">«The individual signs and dates. The supervisor or HR witness line is optional. Names appear only on the signed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Signatory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[Acknowledging individual]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 witness (optional)]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4. Retention</w:t>
      </w:r>
    </w:p>
    <w:p>
      <w:pPr>
        <w:spacing w:after="140"/>
      </w:pPr>
      <w:r>
        <w:rPr>
          <w:rFonts w:ascii="Aptos" w:cs="Aptos" w:eastAsia="Aptos" w:hAnsi="Aptos"/>
          <w:i/>
          <w:iCs/>
          <w:color w:val="595959"/>
          <w:sz w:val="24"/>
          <w:szCs w:val="24"/>
        </w:rPr>
        <w:t xml:space="preserve">«Where the signed original is kept, by whom, and for how long. Align with the Document Handling Standard.»</w:t>
      </w:r>
    </w:p>
    <w:p>
      <w:pPr>
        <w:spacing w:after="120" w:before="0"/>
      </w:pPr>
      <w:r>
        <w:rPr>
          <w:rFonts w:ascii="Aptos" w:cs="Aptos" w:eastAsia="Aptos" w:hAnsi="Aptos"/>
          <w:b w:val="false"/>
          <w:bCs w:val="false"/>
          <w:i w:val="false"/>
          <w:iCs w:val="false"/>
          <w:sz w:val="24"/>
          <w:szCs w:val="24"/>
        </w:rPr>
        <w:t xml:space="preserve">Signed acknowledgments are kept by the [HR / Training Coordinator role] for the period set in the Document Handling Standard, stored as a Confidential personnel record. The Policy Acknowledgment Register shows which acknowledgments are current.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signed paper or PDF acknowledgments in each person’s file. The director collects the AUP acknowledgment at hire and once a year after, and holds system access until it is signed. The media-handling and privileged variants apply only to the staff they cover.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Collect acknowledgments through HR or a shared drive and check them against the Policy Acknowledgment Register at each review. Anyone with administrative rights signs the privileged-access variant.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acknowledgments electronically in an HR or learning system that date-stamps each signature, gates account creation on completion, and feeds the Policy Acknowledgment Register. Assign all three variants by role.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§4.1.2, §4.2.3, §5.1.1, §6.5</w:t>
            </w:r>
          </w:p>
          <w:p>
            <w:pPr>
              <w:spacing w:after="40" w:before="0"/>
            </w:pPr>
            <w:r>
              <w:rPr>
                <w:rFonts w:ascii="Aptos" w:cs="Aptos" w:eastAsia="Aptos" w:hAnsi="Aptos"/>
                <w:b w:val="false"/>
                <w:bCs w:val="false"/>
                <w:i w:val="false"/>
                <w:iCs w:val="false"/>
                <w:sz w:val="24"/>
                <w:szCs w:val="24"/>
              </w:rPr>
              <w:t xml:space="preserve">NIST SP 800-53 Rev. 5: AT-2, PL-4, PS-6</w:t>
            </w:r>
          </w:p>
          <w:p>
            <w:pPr>
              <w:spacing w:after="40" w:before="0"/>
            </w:pPr>
            <w:r>
              <w:rPr>
                <w:rFonts w:ascii="Aptos" w:cs="Aptos" w:eastAsia="Aptos" w:hAnsi="Aptos"/>
                <w:b w:val="false"/>
                <w:bCs w:val="false"/>
                <w:i w:val="false"/>
                <w:iCs w:val="false"/>
                <w:sz w:val="24"/>
                <w:szCs w:val="24"/>
              </w:rPr>
              <w:t xml:space="preserve">Indiana statutes and administrative code: 240 IAC 5 (IDACS; privileged-user variant)</w:t>
            </w:r>
          </w:p>
          <w:p>
            <w:pPr>
              <w:spacing w:after="0" w:before="0"/>
            </w:pPr>
            <w:r>
              <w:rPr>
                <w:rFonts w:ascii="Aptos" w:cs="Aptos" w:eastAsia="Aptos" w:hAnsi="Aptos"/>
                <w:b w:val="false"/>
                <w:bCs w:val="false"/>
                <w:i w:val="false"/>
                <w:iCs w:val="false"/>
                <w:sz w:val="24"/>
                <w:szCs w:val="24"/>
              </w:rPr>
              <w:t xml:space="preserve">CJIS Security Policy v5.9: §5.2 (security awareness; privileged-user variant in CJIS / IDACS scope)</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before finalizing: (1) the [signing official] and the [HR / Training Coordinator] owner role; (2) whether the privileged-user variant reaches CJIS or IDACS data, which decides if the / CJIS marker and CJIS §5.2 citation stay.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Signed Acknowledgment Records - FORM</dc:title>
</cp:coreProperties>
</file>

<file path=docProps/custom.xml><?xml version="1.0" encoding="utf-8"?>
<Properties xmlns="http://schemas.openxmlformats.org/officeDocument/2006/custom-properties" xmlns:vt="http://schemas.openxmlformats.org/officeDocument/2006/docPropsVTypes"/>
</file>